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67"/>
        <w:gridCol w:w="2693"/>
        <w:gridCol w:w="1843"/>
        <w:gridCol w:w="266"/>
        <w:gridCol w:w="691"/>
        <w:gridCol w:w="691"/>
        <w:gridCol w:w="1151"/>
        <w:gridCol w:w="36"/>
      </w:tblGrid>
      <w:tr w:rsidR="002E61E5" w:rsidRPr="00842141" w:rsidTr="00784B0E">
        <w:tc>
          <w:tcPr>
            <w:tcW w:w="160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E61E5" w:rsidRPr="00842141" w:rsidRDefault="00320FD7" w:rsidP="00320FD7">
            <w:pPr>
              <w:spacing w:after="0"/>
              <w:ind w:left="-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93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E61E5" w:rsidRPr="00842141" w:rsidRDefault="00D50AA3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693" w:type="dxa"/>
          </w:tcPr>
          <w:p w:rsidR="002E61E5" w:rsidRPr="00842141" w:rsidRDefault="00D50AA3" w:rsidP="00784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84B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F1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784B0E">
        <w:tc>
          <w:tcPr>
            <w:tcW w:w="2127" w:type="dxa"/>
            <w:gridSpan w:val="2"/>
          </w:tcPr>
          <w:p w:rsidR="002E61E5" w:rsidRPr="00842141" w:rsidRDefault="00D50AA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784B0E">
        <w:trPr>
          <w:trHeight w:val="455"/>
        </w:trPr>
        <w:tc>
          <w:tcPr>
            <w:tcW w:w="10065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784B0E">
        <w:trPr>
          <w:gridAfter w:val="1"/>
          <w:wAfter w:w="36" w:type="dxa"/>
        </w:trPr>
        <w:tc>
          <w:tcPr>
            <w:tcW w:w="5387" w:type="dxa"/>
            <w:gridSpan w:val="4"/>
          </w:tcPr>
          <w:p w:rsidR="002E61E5" w:rsidRPr="00846643" w:rsidRDefault="00D50AA3" w:rsidP="00D50AA3">
            <w:pPr>
              <w:spacing w:after="0"/>
              <w:ind w:left="72" w:hanging="7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 введении на территории Гаринского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городского округа</w:t>
            </w:r>
            <w:r w:rsidR="00E25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A3D51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собого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2E61E5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противопожарного режима 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C1B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 требованиями статьи 6, статьи 19 и статьи 30 Федерального закона от 21 декабря 1994 № 69 ФЗ «О пожарной безопасности», Законом Свердловской области от 15 июля 2005 года №</w:t>
      </w:r>
      <w:r w:rsidR="00784B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82-ОЗ «Об обеспечении пожарной безопасности на территории Свердловской области», постановлением Правительства Свердловс</w:t>
      </w:r>
      <w:r w:rsidR="00220A4B">
        <w:rPr>
          <w:rFonts w:ascii="Times New Roman" w:hAnsi="Times New Roman" w:cs="Times New Roman"/>
          <w:sz w:val="28"/>
        </w:rPr>
        <w:t>кой области от 11.04.2024г № 244</w:t>
      </w:r>
      <w:r>
        <w:rPr>
          <w:rFonts w:ascii="Times New Roman" w:hAnsi="Times New Roman" w:cs="Times New Roman"/>
          <w:sz w:val="28"/>
        </w:rPr>
        <w:t xml:space="preserve">-ПП «Об установлении особого противопожарного режима  на территории Свердловской области», руководствуясь  Уставом Гаринского городского округа </w:t>
      </w:r>
      <w:proofErr w:type="gramEnd"/>
    </w:p>
    <w:p w:rsidR="00535C1B" w:rsidRDefault="00535C1B" w:rsidP="008A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535C1B" w:rsidRPr="00A42B0B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0B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D723D3" w:rsidRPr="00A42B0B">
        <w:rPr>
          <w:rFonts w:ascii="Times New Roman" w:hAnsi="Times New Roman" w:cs="Times New Roman"/>
          <w:sz w:val="28"/>
          <w:szCs w:val="28"/>
        </w:rPr>
        <w:t>19</w:t>
      </w:r>
      <w:r w:rsidRPr="00A42B0B">
        <w:rPr>
          <w:rFonts w:ascii="Times New Roman" w:hAnsi="Times New Roman" w:cs="Times New Roman"/>
          <w:sz w:val="28"/>
          <w:szCs w:val="28"/>
        </w:rPr>
        <w:t>.</w:t>
      </w:r>
      <w:r w:rsidR="00D723D3" w:rsidRPr="00A42B0B">
        <w:rPr>
          <w:rFonts w:ascii="Times New Roman" w:hAnsi="Times New Roman" w:cs="Times New Roman"/>
          <w:sz w:val="28"/>
          <w:szCs w:val="28"/>
        </w:rPr>
        <w:t>04.2024</w:t>
      </w:r>
      <w:r w:rsidRPr="00A42B0B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 на территории Гаринского городского округа для предотвращения возникновения лесных пожаров и ликвидации угрозы населенным пунктам, расположенным на территории Гаринского городского округа от пожаров.</w:t>
      </w:r>
    </w:p>
    <w:p w:rsidR="00535C1B" w:rsidRPr="00E459B0" w:rsidRDefault="00CC38E6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C1B" w:rsidRPr="00A42B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723D3" w:rsidRPr="00A42B0B">
        <w:rPr>
          <w:rFonts w:ascii="Times New Roman" w:eastAsia="Times New Roman" w:hAnsi="Times New Roman" w:cs="Times New Roman"/>
          <w:color w:val="1A1A1A"/>
          <w:sz w:val="28"/>
          <w:szCs w:val="28"/>
        </w:rPr>
        <w:t>В период действия особого противопожарного режима на территории</w:t>
      </w:r>
      <w:r w:rsidR="00031CC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Гаринского городского округа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запретить использование открытого огня, сжигание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мусора, сухой травянистой растительности, стерни, соломы, порубочных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и пожнивных остатков, разведение костров, проведение пожароопасных работ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на землях лесного фонда, землях сельскохозяйственного назначения, землях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населенных пунктов, землях промышленности, энергетики, транспорта, связи,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радиовещания, телевидения, информатики, землях для обеспечения космической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деятельности, землях обороны, безопасности и землях иного</w:t>
      </w:r>
      <w:proofErr w:type="gramEnd"/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специального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назначения, а также стоянку и ночлег туристических групп вне специально</w:t>
      </w:r>
      <w:r w:rsidR="00031C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D723D3" w:rsidRPr="00D723D3">
        <w:rPr>
          <w:rFonts w:ascii="Times New Roman" w:eastAsia="Times New Roman" w:hAnsi="Times New Roman" w:cs="Times New Roman"/>
          <w:color w:val="1A1A1A"/>
          <w:sz w:val="28"/>
          <w:szCs w:val="28"/>
        </w:rPr>
        <w:t>отведенных мест.</w:t>
      </w:r>
    </w:p>
    <w:p w:rsidR="00535C1B" w:rsidRPr="00E459B0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t>3. 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 и на территориях общего пользования вне границ населенных пунктов, и правообладателям территорий ведения гражданами садоводства или огородничества для собственных нужд, в течени</w:t>
      </w:r>
      <w:proofErr w:type="gramStart"/>
      <w:r w:rsidRPr="00E459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59B0">
        <w:rPr>
          <w:rFonts w:ascii="Times New Roman" w:hAnsi="Times New Roman" w:cs="Times New Roman"/>
          <w:sz w:val="28"/>
          <w:szCs w:val="28"/>
        </w:rPr>
        <w:t xml:space="preserve"> семи дней с момента вступления с законную силу настоящего постановления об установлении особого противопожарного режима  на </w:t>
      </w:r>
      <w:r w:rsidRPr="00E459B0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территории, производить уборку мусора, сухой растительности и покос травы.</w:t>
      </w:r>
    </w:p>
    <w:p w:rsidR="00535C1B" w:rsidRPr="00E459B0" w:rsidRDefault="00535C1B" w:rsidP="008A7F17">
      <w:pPr>
        <w:tabs>
          <w:tab w:val="decimal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7EB" w:rsidRPr="00E459B0">
        <w:rPr>
          <w:rFonts w:ascii="Times New Roman" w:hAnsi="Times New Roman" w:cs="Times New Roman"/>
          <w:sz w:val="28"/>
          <w:szCs w:val="28"/>
        </w:rPr>
        <w:t>4</w:t>
      </w:r>
      <w:r w:rsidRPr="00E459B0">
        <w:rPr>
          <w:rFonts w:ascii="Times New Roman" w:hAnsi="Times New Roman" w:cs="Times New Roman"/>
          <w:sz w:val="28"/>
          <w:szCs w:val="28"/>
        </w:rPr>
        <w:t>. У каждого жилого строения на территориях частных домовладений, садоводства или огородничества расположенных, на территориях населенных пунктов, обеспечивается наличие бочки с водой (не менее 0,2 куб. метра), ведра без видимых повреждений (объемом не менее 10 литров) или огнетушителя типа ОП (объем не менее 5 литров).</w:t>
      </w:r>
    </w:p>
    <w:p w:rsidR="00535C1B" w:rsidRPr="00E459B0" w:rsidRDefault="000E1982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5C1B" w:rsidRPr="00E459B0">
        <w:rPr>
          <w:rFonts w:ascii="Times New Roman" w:hAnsi="Times New Roman" w:cs="Times New Roman"/>
          <w:sz w:val="28"/>
          <w:szCs w:val="28"/>
        </w:rPr>
        <w:t xml:space="preserve">. Администрации Гаринского городского округа </w:t>
      </w:r>
      <w:r w:rsidR="00227732" w:rsidRPr="00E459B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предусмотреть  проведение следующих мероприятий:</w:t>
      </w:r>
      <w:r w:rsidR="00535C1B" w:rsidRPr="00E459B0">
        <w:rPr>
          <w:rFonts w:ascii="Times New Roman" w:hAnsi="Times New Roman" w:cs="Times New Roman"/>
          <w:sz w:val="28"/>
          <w:szCs w:val="28"/>
        </w:rPr>
        <w:t>:</w:t>
      </w:r>
    </w:p>
    <w:p w:rsidR="00535C1B" w:rsidRPr="00E459B0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t>1) в случае необходимости  привлекать на договорной основе инженерную, автомобильную технику и водный транспорт для перевозок и выполнения работ, связанных с предотвращением возникновения чрезвычайных ситуаций прир</w:t>
      </w:r>
      <w:r w:rsidR="00486CAF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CC38E6" w:rsidRPr="00E459B0" w:rsidRDefault="000E1982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86CAF">
        <w:rPr>
          <w:rFonts w:ascii="Times New Roman" w:hAnsi="Times New Roman" w:cs="Times New Roman"/>
          <w:sz w:val="28"/>
          <w:szCs w:val="28"/>
        </w:rPr>
        <w:t xml:space="preserve"> у</w:t>
      </w:r>
      <w:r w:rsidR="00CC38E6" w:rsidRPr="00E459B0">
        <w:rPr>
          <w:rFonts w:ascii="Times New Roman" w:hAnsi="Times New Roman" w:cs="Times New Roman"/>
          <w:sz w:val="28"/>
          <w:szCs w:val="28"/>
        </w:rPr>
        <w:t>точнить планы привлечения сил и средств, порядок взаимодействия  между заинтересованными ведомствами на ту</w:t>
      </w:r>
      <w:r w:rsidR="00486CAF">
        <w:rPr>
          <w:rFonts w:ascii="Times New Roman" w:hAnsi="Times New Roman" w:cs="Times New Roman"/>
          <w:sz w:val="28"/>
          <w:szCs w:val="28"/>
        </w:rPr>
        <w:t>шения лесных и торфяных пожаров;</w:t>
      </w:r>
    </w:p>
    <w:p w:rsidR="00CC38E6" w:rsidRPr="00E459B0" w:rsidRDefault="000E1982" w:rsidP="008A7F17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86CAF">
        <w:rPr>
          <w:rFonts w:ascii="Times New Roman" w:hAnsi="Times New Roman" w:cs="Times New Roman"/>
          <w:sz w:val="28"/>
          <w:szCs w:val="28"/>
        </w:rPr>
        <w:t xml:space="preserve"> о</w:t>
      </w:r>
      <w:r w:rsidR="00CC38E6" w:rsidRPr="00E459B0">
        <w:rPr>
          <w:rFonts w:ascii="Times New Roman" w:hAnsi="Times New Roman" w:cs="Times New Roman"/>
          <w:sz w:val="28"/>
          <w:szCs w:val="28"/>
        </w:rPr>
        <w:t>рганизовать работу патрульных   групп    для    проведения профилактических рейдов  и оперативной проверки термических точек, обнаруженных средствами космического мониторинга, а также оперативного выявления винов</w:t>
      </w:r>
      <w:r w:rsidR="00486CAF">
        <w:rPr>
          <w:rFonts w:ascii="Times New Roman" w:hAnsi="Times New Roman" w:cs="Times New Roman"/>
          <w:sz w:val="28"/>
          <w:szCs w:val="28"/>
        </w:rPr>
        <w:t>ных лиц в возникновении пожаров;</w:t>
      </w:r>
    </w:p>
    <w:p w:rsidR="00486CAF" w:rsidRDefault="000E1982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535C1B" w:rsidRPr="00E459B0">
        <w:rPr>
          <w:rFonts w:ascii="Times New Roman" w:hAnsi="Times New Roman" w:cs="Times New Roman"/>
          <w:sz w:val="28"/>
          <w:szCs w:val="28"/>
        </w:rPr>
        <w:t xml:space="preserve">) </w:t>
      </w:r>
      <w:r w:rsidR="003E1E17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совместно с представителями органов внутренних дел,</w:t>
      </w:r>
      <w:r w:rsidR="00D12542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E1E17" w:rsidRPr="003E1E17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органов лесного контроля (надзора), органов федерального государственного</w:t>
      </w:r>
      <w:r w:rsidR="00D12542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E1E17" w:rsidRPr="003E1E17">
        <w:rPr>
          <w:rFonts w:ascii="Times New Roman" w:eastAsia="Times New Roman" w:hAnsi="Times New Roman" w:cs="Times New Roman"/>
          <w:color w:val="1A1A1A"/>
          <w:sz w:val="28"/>
          <w:szCs w:val="28"/>
        </w:rPr>
        <w:t>пожарного надзора выездных обследований в части соблюдения запрета</w:t>
      </w:r>
      <w:r w:rsidR="00D12542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E1E17" w:rsidRPr="003E1E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выжигания сухой </w:t>
      </w:r>
      <w:r w:rsidR="00D12542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и </w:t>
      </w:r>
      <w:r w:rsidR="003E1E17" w:rsidRPr="003E1E17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разведения костров, а также оперативной проверки термических точек,</w:t>
      </w:r>
      <w:r w:rsidR="00D12542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3E1E17" w:rsidRPr="003E1E17">
        <w:rPr>
          <w:rFonts w:ascii="Times New Roman" w:eastAsia="Times New Roman" w:hAnsi="Times New Roman" w:cs="Times New Roman"/>
          <w:color w:val="1A1A1A"/>
          <w:sz w:val="28"/>
          <w:szCs w:val="28"/>
        </w:rPr>
        <w:t>обнаруженных средствами космического мониторинга;</w:t>
      </w:r>
    </w:p>
    <w:p w:rsidR="005F1243" w:rsidRPr="005F1243" w:rsidRDefault="00486CAF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35C1B" w:rsidRPr="00E459B0">
        <w:rPr>
          <w:rFonts w:ascii="Times New Roman" w:hAnsi="Times New Roman" w:cs="Times New Roman"/>
          <w:sz w:val="28"/>
          <w:szCs w:val="28"/>
        </w:rPr>
        <w:t xml:space="preserve">) </w:t>
      </w:r>
      <w:r w:rsidR="005F1243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обеспечение </w:t>
      </w:r>
      <w:proofErr w:type="gramStart"/>
      <w:r w:rsidR="005F1243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 за</w:t>
      </w:r>
      <w:proofErr w:type="gramEnd"/>
      <w:r w:rsidR="005F1243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соблюдением дополнительных требований </w:t>
      </w:r>
      <w:r w:rsidR="005F1243" w:rsidRPr="005F124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пожарной безопасности, установленных </w:t>
      </w:r>
      <w:r w:rsidR="005E51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настоящим постановлением</w:t>
      </w:r>
      <w:r w:rsidR="005F1243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F1243" w:rsidRPr="005F1243">
        <w:rPr>
          <w:rFonts w:ascii="Times New Roman" w:eastAsia="Times New Roman" w:hAnsi="Times New Roman" w:cs="Times New Roman"/>
          <w:color w:val="1A1A1A"/>
          <w:sz w:val="28"/>
          <w:szCs w:val="28"/>
        </w:rPr>
        <w:t>на период</w:t>
      </w:r>
      <w:r w:rsidR="005E51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F1243" w:rsidRPr="005F1243">
        <w:rPr>
          <w:rFonts w:ascii="Times New Roman" w:eastAsia="Times New Roman" w:hAnsi="Times New Roman" w:cs="Times New Roman"/>
          <w:color w:val="1A1A1A"/>
          <w:sz w:val="28"/>
          <w:szCs w:val="28"/>
        </w:rPr>
        <w:t>действия особого противопожарного режима;</w:t>
      </w:r>
    </w:p>
    <w:p w:rsidR="005E51C5" w:rsidRPr="005E51C5" w:rsidRDefault="00ED0467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535C1B" w:rsidRPr="00E459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C5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привлечь старост сельских населенных пунктов к проведению </w:t>
      </w:r>
      <w:r w:rsidR="005E51C5" w:rsidRPr="005E51C5">
        <w:rPr>
          <w:rFonts w:ascii="Times New Roman" w:eastAsia="Times New Roman" w:hAnsi="Times New Roman" w:cs="Times New Roman"/>
          <w:color w:val="1A1A1A"/>
          <w:sz w:val="28"/>
          <w:szCs w:val="28"/>
        </w:rPr>
        <w:t>противопожарной пропаганды;</w:t>
      </w:r>
    </w:p>
    <w:p w:rsidR="00AF4C67" w:rsidRPr="00E459B0" w:rsidRDefault="00ED0467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535C1B" w:rsidRPr="00E459B0">
        <w:rPr>
          <w:rFonts w:ascii="Times New Roman" w:hAnsi="Times New Roman" w:cs="Times New Roman"/>
          <w:sz w:val="28"/>
          <w:szCs w:val="28"/>
        </w:rPr>
        <w:t>)</w:t>
      </w:r>
      <w:r w:rsidR="00784B0E" w:rsidRPr="00E4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C67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привлечь силы и средства иных видов пожарной охраны, не отнесенных</w:t>
      </w:r>
      <w:r w:rsidR="00E7082D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AF4C67" w:rsidRPr="00AF4C6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 государственной противопожарной службе, </w:t>
      </w:r>
      <w:r w:rsidR="00043FD6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а именно </w:t>
      </w:r>
      <w:r w:rsidR="00AF4C67" w:rsidRPr="00AF4C67">
        <w:rPr>
          <w:rFonts w:ascii="Times New Roman" w:eastAsia="Times New Roman" w:hAnsi="Times New Roman" w:cs="Times New Roman"/>
          <w:color w:val="1A1A1A"/>
          <w:sz w:val="28"/>
          <w:szCs w:val="28"/>
        </w:rPr>
        <w:t>добровольной пожарной охраны</w:t>
      </w:r>
      <w:r w:rsidR="00E7082D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осуществляющую свою деятельность на территории </w:t>
      </w:r>
      <w:r w:rsidR="00AE66F9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района</w:t>
      </w:r>
      <w:r w:rsidR="00AF4C67" w:rsidRPr="00AF4C67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AE66F9" w:rsidRPr="00AE66F9" w:rsidRDefault="00ED0467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</w:t>
      </w:r>
      <w:r w:rsidR="00A40BA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8</w:t>
      </w:r>
      <w:r w:rsidR="00AE66F9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E66F9" w:rsidRPr="00E459B0">
        <w:rPr>
          <w:rFonts w:ascii="Times New Roman" w:hAnsi="Times New Roman" w:cs="Times New Roman"/>
          <w:color w:val="1A1A1A"/>
          <w:sz w:val="28"/>
          <w:szCs w:val="28"/>
        </w:rPr>
        <w:t xml:space="preserve">обеспечить </w:t>
      </w:r>
      <w:r w:rsidR="00AE66F9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увеличение противопожарных разрывов в границах населенных пунктов</w:t>
      </w:r>
      <w:r w:rsidR="00191A8A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</w:t>
      </w:r>
      <w:r w:rsidR="00AE66F9" w:rsidRPr="00AE66F9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создание противопожарных минерализованных полос;</w:t>
      </w:r>
    </w:p>
    <w:p w:rsidR="004D2884" w:rsidRPr="004D2884" w:rsidRDefault="00ED0467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="00A40BA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9</w:t>
      </w:r>
      <w:r w:rsidR="00191A8A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191A8A" w:rsidRPr="00E459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D2884" w:rsidRPr="00E459B0">
        <w:rPr>
          <w:rFonts w:ascii="Times New Roman" w:hAnsi="Times New Roman" w:cs="Times New Roman"/>
          <w:color w:val="1A1A1A"/>
          <w:sz w:val="28"/>
          <w:szCs w:val="28"/>
        </w:rPr>
        <w:t xml:space="preserve"> в случае необходимости </w:t>
      </w:r>
      <w:r w:rsidR="00191A8A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обеспечения пожарной безопасности принятие в установленном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91A8A" w:rsidRPr="00191A8A">
        <w:rPr>
          <w:rFonts w:ascii="Times New Roman" w:eastAsia="Times New Roman" w:hAnsi="Times New Roman" w:cs="Times New Roman"/>
          <w:color w:val="1A1A1A"/>
          <w:sz w:val="28"/>
          <w:szCs w:val="28"/>
        </w:rPr>
        <w:t>порядке решений об ограничении (запрете) пребывания граждан на территориях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91A8A" w:rsidRPr="00191A8A">
        <w:rPr>
          <w:rFonts w:ascii="Times New Roman" w:eastAsia="Times New Roman" w:hAnsi="Times New Roman" w:cs="Times New Roman"/>
          <w:color w:val="1A1A1A"/>
          <w:sz w:val="28"/>
          <w:szCs w:val="28"/>
        </w:rPr>
        <w:t>лесных участков, расположенных в границах муниципальных образований, въезда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91A8A" w:rsidRPr="00191A8A">
        <w:rPr>
          <w:rFonts w:ascii="Times New Roman" w:eastAsia="Times New Roman" w:hAnsi="Times New Roman" w:cs="Times New Roman"/>
          <w:color w:val="1A1A1A"/>
          <w:sz w:val="28"/>
          <w:szCs w:val="28"/>
        </w:rPr>
        <w:t>на них транспортных средств, за исключением дорог общего пользования,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91A8A" w:rsidRPr="00191A8A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проведения в лесах определенных видов работ организациями, кроме случаев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91A8A" w:rsidRPr="00191A8A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осуществления мониторинга пожарной опасности в лесах и иных случаев,</w:t>
      </w:r>
      <w:r w:rsidR="004D2884" w:rsidRPr="00E459B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предусмотренных </w:t>
      </w:r>
      <w:r w:rsidR="004D2884" w:rsidRPr="004D2884">
        <w:rPr>
          <w:rFonts w:ascii="Times New Roman" w:eastAsia="Times New Roman" w:hAnsi="Times New Roman" w:cs="Times New Roman"/>
          <w:color w:val="1A1A1A"/>
          <w:sz w:val="28"/>
          <w:szCs w:val="28"/>
        </w:rPr>
        <w:t>служебным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D2884" w:rsidRPr="004D2884">
        <w:rPr>
          <w:rFonts w:ascii="Times New Roman" w:eastAsia="Times New Roman" w:hAnsi="Times New Roman" w:cs="Times New Roman"/>
          <w:color w:val="1A1A1A"/>
          <w:sz w:val="28"/>
          <w:szCs w:val="28"/>
        </w:rPr>
        <w:t>заданием,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D2884" w:rsidRPr="004D2884">
        <w:rPr>
          <w:rFonts w:ascii="Times New Roman" w:eastAsia="Times New Roman" w:hAnsi="Times New Roman" w:cs="Times New Roman"/>
          <w:color w:val="1A1A1A"/>
          <w:sz w:val="28"/>
          <w:szCs w:val="28"/>
        </w:rPr>
        <w:t>связанным</w:t>
      </w:r>
      <w:proofErr w:type="gramEnd"/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D2884" w:rsidRPr="004D2884">
        <w:rPr>
          <w:rFonts w:ascii="Times New Roman" w:eastAsia="Times New Roman" w:hAnsi="Times New Roman" w:cs="Times New Roman"/>
          <w:color w:val="1A1A1A"/>
          <w:sz w:val="28"/>
          <w:szCs w:val="28"/>
        </w:rPr>
        <w:t>с проездом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D2884" w:rsidRPr="004D2884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="004D2884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D2884" w:rsidRPr="004D2884">
        <w:rPr>
          <w:rFonts w:ascii="Times New Roman" w:eastAsia="Times New Roman" w:hAnsi="Times New Roman" w:cs="Times New Roman"/>
          <w:color w:val="1A1A1A"/>
          <w:sz w:val="28"/>
          <w:szCs w:val="28"/>
        </w:rPr>
        <w:t>автомобильным дорогам с соблюдением правил пожарной безопасности в лесах;</w:t>
      </w:r>
    </w:p>
    <w:p w:rsidR="00EE6391" w:rsidRDefault="00A40BAB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10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) обеспеч</w:t>
      </w:r>
      <w:r w:rsidR="000C15A8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ить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информировани</w:t>
      </w:r>
      <w:r w:rsidR="000C15A8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населения через средства массовой</w:t>
      </w:r>
      <w:r w:rsidR="00BB686C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информации об установлении </w:t>
      </w:r>
      <w:r w:rsidR="000C15A8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особого противопожарного режима и проводимых мероприятиях,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направленных</w:t>
      </w:r>
      <w:r w:rsidR="000C15A8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на недопущение возникновения пожаров</w:t>
      </w:r>
      <w:r w:rsidR="00A471CF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а также размещению в средствах массовой информации, на официальных </w:t>
      </w:r>
      <w:r w:rsidR="008A7F17" w:rsidRPr="00A471CF">
        <w:rPr>
          <w:rFonts w:ascii="Times New Roman" w:eastAsia="Times New Roman" w:hAnsi="Times New Roman" w:cs="Times New Roman"/>
          <w:color w:val="1A1A1A"/>
          <w:sz w:val="28"/>
          <w:szCs w:val="28"/>
        </w:rPr>
        <w:t>Интернет-ресурсах</w:t>
      </w:r>
      <w:r w:rsidR="00A471CF" w:rsidRPr="00A471C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социально значимой информации,</w:t>
      </w:r>
      <w:r w:rsidR="00A471CF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A471CF" w:rsidRPr="00A471CF">
        <w:rPr>
          <w:rFonts w:ascii="Times New Roman" w:eastAsia="Times New Roman" w:hAnsi="Times New Roman" w:cs="Times New Roman"/>
          <w:color w:val="1A1A1A"/>
          <w:sz w:val="28"/>
          <w:szCs w:val="28"/>
        </w:rPr>
        <w:t>направленной на профилактику правонарушений в лесах, и информации о</w:t>
      </w:r>
      <w:r w:rsidR="00A471CF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D6049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правилах поведения в лесах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0D6049" w:rsidRPr="00275EDB" w:rsidRDefault="00275EDB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="000D6049">
        <w:rPr>
          <w:rFonts w:ascii="Times New Roman" w:eastAsia="Times New Roman" w:hAnsi="Times New Roman" w:cs="Times New Roman"/>
          <w:color w:val="1A1A1A"/>
          <w:sz w:val="28"/>
          <w:szCs w:val="28"/>
        </w:rPr>
        <w:t>11</w:t>
      </w:r>
      <w:r w:rsidR="000D6049" w:rsidRP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0D6049" w:rsidRPr="00275ED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0D6049" w:rsidRP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>усилить работу по профилактике лесных и торфяных пожаров путем</w:t>
      </w:r>
      <w:r w:rsidRP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D6049" w:rsidRPr="000D6049">
        <w:rPr>
          <w:rFonts w:ascii="Times New Roman" w:eastAsia="Times New Roman" w:hAnsi="Times New Roman" w:cs="Times New Roman"/>
          <w:color w:val="1A1A1A"/>
          <w:sz w:val="28"/>
          <w:szCs w:val="28"/>
        </w:rPr>
        <w:t>противопожарной пропаганды</w:t>
      </w:r>
      <w:r w:rsidR="00C839CB">
        <w:rPr>
          <w:rFonts w:ascii="Times New Roman" w:eastAsia="Times New Roman" w:hAnsi="Times New Roman" w:cs="Times New Roman"/>
          <w:color w:val="1A1A1A"/>
          <w:sz w:val="28"/>
          <w:szCs w:val="28"/>
        </w:rPr>
        <w:t>;</w:t>
      </w:r>
    </w:p>
    <w:p w:rsidR="00B574B1" w:rsidRPr="00EE6391" w:rsidRDefault="00A40BAB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1</w:t>
      </w:r>
      <w:r w:rsid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B574B1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B574B1" w:rsidRPr="00E459B0">
        <w:rPr>
          <w:rFonts w:ascii="Times New Roman" w:hAnsi="Times New Roman" w:cs="Times New Roman"/>
          <w:sz w:val="28"/>
          <w:szCs w:val="28"/>
        </w:rPr>
        <w:t xml:space="preserve"> организовать контроль устойчивого функционирования систем оповещения населения в случае возникновения угрозы чрезвычайной ситуации и перехода возможных пожаров на территории населенных пунктов;</w:t>
      </w:r>
    </w:p>
    <w:p w:rsidR="00EE6391" w:rsidRPr="00EE6391" w:rsidRDefault="00A40BAB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1</w:t>
      </w:r>
      <w:r w:rsid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>3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) </w:t>
      </w:r>
      <w:r w:rsidR="00A42B0B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организовать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привлечение населения для локализации пожаров вне границ населенных</w:t>
      </w:r>
      <w:r w:rsidR="00A42B0B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пунктов в целях </w:t>
      </w:r>
      <w:proofErr w:type="gramStart"/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контроля за</w:t>
      </w:r>
      <w:proofErr w:type="gramEnd"/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пожарной обстановкой, реагирования на угрозу</w:t>
      </w:r>
      <w:r w:rsidR="00A42B0B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и возникновение чрезвычайной ситуации, связанной с природными пожарами,</w:t>
      </w:r>
      <w:r w:rsidR="00A42B0B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принятия мер по выявлению и оперативному тушению источников открытого</w:t>
      </w:r>
      <w:r w:rsidR="00A42B0B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огня;</w:t>
      </w:r>
    </w:p>
    <w:p w:rsidR="00AE66F9" w:rsidRDefault="00A40BAB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r w:rsidR="00A42B0B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 w:rsid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>4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) приве</w:t>
      </w:r>
      <w:r w:rsidR="00B574B1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сти в рабочее состояние источники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противопожарного</w:t>
      </w:r>
      <w:r w:rsidR="00B574B1" w:rsidRPr="00E459B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>водоснабжения и первичны</w:t>
      </w:r>
      <w:r w:rsid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>е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средств</w:t>
      </w:r>
      <w:r w:rsidR="00275EDB">
        <w:rPr>
          <w:rFonts w:ascii="Times New Roman" w:eastAsia="Times New Roman" w:hAnsi="Times New Roman" w:cs="Times New Roman"/>
          <w:color w:val="1A1A1A"/>
          <w:sz w:val="28"/>
          <w:szCs w:val="28"/>
        </w:rPr>
        <w:t>а</w:t>
      </w:r>
      <w:r w:rsidR="00EE6391" w:rsidRPr="00EE639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пожаротушения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0D0773" w:rsidRDefault="00FC7B3F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6. Рекомендовать </w:t>
      </w:r>
      <w:r w:rsid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612C8">
        <w:rPr>
          <w:rFonts w:ascii="Times New Roman" w:eastAsia="Times New Roman" w:hAnsi="Times New Roman" w:cs="Times New Roman"/>
          <w:color w:val="1A1A1A"/>
          <w:sz w:val="28"/>
          <w:szCs w:val="28"/>
        </w:rPr>
        <w:t>ГКУ</w:t>
      </w:r>
      <w:r w:rsidR="003C28F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 «</w:t>
      </w:r>
      <w:r w:rsidR="001612C8">
        <w:rPr>
          <w:rFonts w:ascii="Times New Roman" w:eastAsia="Times New Roman" w:hAnsi="Times New Roman" w:cs="Times New Roman"/>
          <w:color w:val="1A1A1A"/>
          <w:sz w:val="28"/>
          <w:szCs w:val="28"/>
        </w:rPr>
        <w:t>Гаринское лесничество</w:t>
      </w:r>
      <w:r w:rsidR="003C28F1">
        <w:rPr>
          <w:rFonts w:ascii="Times New Roman" w:eastAsia="Times New Roman" w:hAnsi="Times New Roman" w:cs="Times New Roman"/>
          <w:color w:val="1A1A1A"/>
          <w:sz w:val="28"/>
          <w:szCs w:val="28"/>
        </w:rPr>
        <w:t>»</w:t>
      </w:r>
      <w:r w:rsidR="001612C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BD0872" w:rsidRDefault="000D0773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1) 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организовать выездные мероприятия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в целях контроля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очистки от сухой травянистой растительности, пожнивных остатков, валежника,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порубочных остатков, отходов производства и потребления и других горючих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материалов на полосе шириной не менее 10 метров от границ территории,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прилегающей к лесу, отделения леса противопожарной минерализованной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полосой шириной не менее 1,4 метра или иным противопожарным барьером,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а также соблюдения лицами, владеющими, пользующимися и (или</w:t>
      </w:r>
      <w:proofErr w:type="gramEnd"/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)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распоряжающимися</w:t>
      </w:r>
      <w:proofErr w:type="gramEnd"/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территорией, прилегающей к лесу, запрета на выжигание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хвороста, лесной подсти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лки, сухой травы и других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горючих материалов на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земельных участках, непосредственно примыкающих к лесам, защитным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и лесным насаждениям и не отделенных противопожарной минерализованной</w:t>
      </w:r>
      <w:r w:rsidR="004B78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D0872" w:rsidRPr="00BD0872">
        <w:rPr>
          <w:rFonts w:ascii="Times New Roman" w:eastAsia="Times New Roman" w:hAnsi="Times New Roman" w:cs="Times New Roman"/>
          <w:color w:val="1A1A1A"/>
          <w:sz w:val="28"/>
          <w:szCs w:val="28"/>
        </w:rPr>
        <w:t>полосой шириной не менее 0,5 метра;</w:t>
      </w:r>
    </w:p>
    <w:p w:rsidR="000D0773" w:rsidRPr="000D0773" w:rsidRDefault="001433E5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</w:t>
      </w:r>
      <w:r w:rsidR="000D0773" w:rsidRP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>2) обеспечить своевременное привлечение сил и сре</w:t>
      </w:r>
      <w:proofErr w:type="gramStart"/>
      <w:r w:rsidR="000D0773" w:rsidRP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>дств в с</w:t>
      </w:r>
      <w:proofErr w:type="gramEnd"/>
      <w:r w:rsidR="000D0773" w:rsidRP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>оответствии</w:t>
      </w:r>
      <w:r w:rsid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D0773" w:rsidRP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со Сводным планом тушения лесных пожаров </w:t>
      </w:r>
      <w:r w:rsid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D0773" w:rsidRP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>на период 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ожароопасного сезона 2024 года;</w:t>
      </w:r>
    </w:p>
    <w:p w:rsidR="00BD0872" w:rsidRPr="00AF4C67" w:rsidRDefault="001433E5" w:rsidP="008A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</w:t>
      </w:r>
      <w:r w:rsidR="000D0773" w:rsidRP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>3) обеспечить полную готовность лесопожарных формирований, пунктов</w:t>
      </w:r>
      <w:r w:rsidR="008A7F1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0D0773" w:rsidRPr="000D0773">
        <w:rPr>
          <w:rFonts w:ascii="Times New Roman" w:eastAsia="Times New Roman" w:hAnsi="Times New Roman" w:cs="Times New Roman"/>
          <w:color w:val="1A1A1A"/>
          <w:sz w:val="28"/>
          <w:szCs w:val="28"/>
        </w:rPr>
        <w:t>сосредоточения противопожарного инвентаря;</w:t>
      </w:r>
    </w:p>
    <w:p w:rsidR="00535C1B" w:rsidRPr="00E459B0" w:rsidRDefault="00FC7B3F" w:rsidP="008A7F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5C1B" w:rsidRPr="00E459B0">
        <w:rPr>
          <w:rFonts w:ascii="Times New Roman" w:hAnsi="Times New Roman" w:cs="Times New Roman"/>
          <w:sz w:val="28"/>
          <w:szCs w:val="28"/>
        </w:rPr>
        <w:t xml:space="preserve">. Руководителям предприятий и организаций всех форм собственности на территории Гаринского городского округа в период действия особого противопожарного режима </w:t>
      </w:r>
    </w:p>
    <w:p w:rsidR="00535C1B" w:rsidRPr="00E459B0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t>1)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округа;</w:t>
      </w:r>
    </w:p>
    <w:p w:rsidR="00535C1B" w:rsidRPr="00E459B0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t>2)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535C1B" w:rsidRPr="00E459B0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t>3) привести в исправное состояние источники противопожарного водоснабжения и первичные средства пожаротушения;</w:t>
      </w:r>
    </w:p>
    <w:p w:rsidR="00535C1B" w:rsidRPr="00E459B0" w:rsidRDefault="00535C1B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lastRenderedPageBreak/>
        <w:t>4) подготовить для возможного использования в тушении пожаров имеющуюся водовозную и землеройную технику.</w:t>
      </w:r>
    </w:p>
    <w:p w:rsidR="00535C1B" w:rsidRPr="00E459B0" w:rsidRDefault="00FC7B3F" w:rsidP="008A7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5C1B" w:rsidRPr="00E459B0">
        <w:rPr>
          <w:rFonts w:ascii="Times New Roman" w:hAnsi="Times New Roman" w:cs="Times New Roman"/>
          <w:sz w:val="28"/>
          <w:szCs w:val="28"/>
        </w:rPr>
        <w:t>.  Настоящее постановление опубликовать (обнародовать)</w:t>
      </w:r>
    </w:p>
    <w:p w:rsidR="00535C1B" w:rsidRPr="00E459B0" w:rsidRDefault="00535C1B" w:rsidP="008A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7B3F">
        <w:rPr>
          <w:rFonts w:ascii="Times New Roman" w:hAnsi="Times New Roman" w:cs="Times New Roman"/>
          <w:sz w:val="28"/>
          <w:szCs w:val="28"/>
        </w:rPr>
        <w:t>9</w:t>
      </w:r>
      <w:r w:rsidRPr="00E459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5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9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   за собой.</w:t>
      </w:r>
    </w:p>
    <w:p w:rsidR="00253202" w:rsidRDefault="00253202" w:rsidP="000F6B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253202" w:rsidRPr="00215C26" w:rsidTr="00E33A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202" w:rsidRPr="00253202" w:rsidRDefault="00253202" w:rsidP="00784B0E">
            <w:pPr>
              <w:rPr>
                <w:rFonts w:ascii="Liberation Serif" w:hAnsi="Liberation Serif"/>
                <w:sz w:val="28"/>
                <w:szCs w:val="28"/>
              </w:rPr>
            </w:pPr>
            <w:r w:rsidRPr="00253202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53202" w:rsidRPr="00253202" w:rsidRDefault="00253202" w:rsidP="00784B0E">
            <w:pPr>
              <w:spacing w:after="119"/>
              <w:rPr>
                <w:rFonts w:ascii="Liberation Serif" w:hAnsi="Liberation Serif"/>
                <w:sz w:val="28"/>
                <w:szCs w:val="28"/>
              </w:rPr>
            </w:pPr>
            <w:r w:rsidRPr="00253202"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круга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202" w:rsidRPr="00253202" w:rsidRDefault="00253202" w:rsidP="00784B0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202" w:rsidRPr="00253202" w:rsidRDefault="00253202" w:rsidP="00784B0E">
            <w:pPr>
              <w:spacing w:after="119"/>
              <w:rPr>
                <w:rFonts w:ascii="Liberation Serif" w:hAnsi="Liberation Serif"/>
                <w:sz w:val="28"/>
                <w:szCs w:val="28"/>
              </w:rPr>
            </w:pPr>
          </w:p>
          <w:p w:rsidR="00253202" w:rsidRPr="00253202" w:rsidRDefault="00253202" w:rsidP="00784B0E">
            <w:pPr>
              <w:spacing w:after="119"/>
              <w:rPr>
                <w:rFonts w:ascii="Liberation Serif" w:hAnsi="Liberation Serif"/>
                <w:sz w:val="28"/>
                <w:szCs w:val="28"/>
              </w:rPr>
            </w:pPr>
            <w:r w:rsidRPr="00253202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  <w:r w:rsidR="00784B0E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Pr="00253202">
              <w:rPr>
                <w:rFonts w:ascii="Liberation Serif" w:hAnsi="Liberation Serif"/>
                <w:sz w:val="28"/>
                <w:szCs w:val="28"/>
              </w:rPr>
              <w:t xml:space="preserve"> С.Е Величко</w:t>
            </w:r>
          </w:p>
        </w:tc>
      </w:tr>
    </w:tbl>
    <w:p w:rsidR="00705E96" w:rsidRDefault="00705E96" w:rsidP="00253202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705E96" w:rsidTr="00027B54">
        <w:tc>
          <w:tcPr>
            <w:tcW w:w="4644" w:type="dxa"/>
          </w:tcPr>
          <w:p w:rsidR="00705E96" w:rsidRDefault="00705E96" w:rsidP="00027B5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705E96" w:rsidRDefault="00705E96" w:rsidP="002E61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705E96" w:rsidRDefault="00705E96" w:rsidP="002E61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5E96" w:rsidRPr="002E61E5" w:rsidRDefault="00705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E96" w:rsidRPr="002E61E5" w:rsidSect="008A7F17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27B54"/>
    <w:rsid w:val="00031CC5"/>
    <w:rsid w:val="00043FD6"/>
    <w:rsid w:val="000B3AAD"/>
    <w:rsid w:val="000C15A8"/>
    <w:rsid w:val="000D0773"/>
    <w:rsid w:val="000D35BC"/>
    <w:rsid w:val="000D3D79"/>
    <w:rsid w:val="000D6049"/>
    <w:rsid w:val="000E1982"/>
    <w:rsid w:val="000F6B6D"/>
    <w:rsid w:val="001433E5"/>
    <w:rsid w:val="001612C8"/>
    <w:rsid w:val="00191A8A"/>
    <w:rsid w:val="001B5303"/>
    <w:rsid w:val="00220A4B"/>
    <w:rsid w:val="00227732"/>
    <w:rsid w:val="00232ABD"/>
    <w:rsid w:val="0024327E"/>
    <w:rsid w:val="00253202"/>
    <w:rsid w:val="00275EDB"/>
    <w:rsid w:val="00276DA7"/>
    <w:rsid w:val="002B2145"/>
    <w:rsid w:val="002B5C3C"/>
    <w:rsid w:val="002E0976"/>
    <w:rsid w:val="002E61E5"/>
    <w:rsid w:val="00320FD7"/>
    <w:rsid w:val="00341858"/>
    <w:rsid w:val="003C28F1"/>
    <w:rsid w:val="003E1E17"/>
    <w:rsid w:val="00422519"/>
    <w:rsid w:val="00465870"/>
    <w:rsid w:val="00486CAF"/>
    <w:rsid w:val="00492191"/>
    <w:rsid w:val="004B7883"/>
    <w:rsid w:val="004D2884"/>
    <w:rsid w:val="004E1075"/>
    <w:rsid w:val="00504B67"/>
    <w:rsid w:val="00535C1B"/>
    <w:rsid w:val="00537836"/>
    <w:rsid w:val="0056799B"/>
    <w:rsid w:val="005D37F4"/>
    <w:rsid w:val="005D5B0F"/>
    <w:rsid w:val="005E51C5"/>
    <w:rsid w:val="005F1243"/>
    <w:rsid w:val="006653CC"/>
    <w:rsid w:val="00705E96"/>
    <w:rsid w:val="00724F46"/>
    <w:rsid w:val="007516EE"/>
    <w:rsid w:val="00773C40"/>
    <w:rsid w:val="00784B0E"/>
    <w:rsid w:val="00784CF7"/>
    <w:rsid w:val="007856AD"/>
    <w:rsid w:val="00796188"/>
    <w:rsid w:val="007B2978"/>
    <w:rsid w:val="007D2108"/>
    <w:rsid w:val="00846643"/>
    <w:rsid w:val="008A7F17"/>
    <w:rsid w:val="009269B2"/>
    <w:rsid w:val="00952FDA"/>
    <w:rsid w:val="009B5536"/>
    <w:rsid w:val="009E345B"/>
    <w:rsid w:val="00A40BAB"/>
    <w:rsid w:val="00A42B0B"/>
    <w:rsid w:val="00A471CF"/>
    <w:rsid w:val="00A878E0"/>
    <w:rsid w:val="00AE66F9"/>
    <w:rsid w:val="00AF4C67"/>
    <w:rsid w:val="00B307EB"/>
    <w:rsid w:val="00B574B1"/>
    <w:rsid w:val="00B93FDB"/>
    <w:rsid w:val="00BB686C"/>
    <w:rsid w:val="00BD0872"/>
    <w:rsid w:val="00C839CB"/>
    <w:rsid w:val="00CC38E6"/>
    <w:rsid w:val="00D06708"/>
    <w:rsid w:val="00D12542"/>
    <w:rsid w:val="00D50AA3"/>
    <w:rsid w:val="00D52FEE"/>
    <w:rsid w:val="00D723D3"/>
    <w:rsid w:val="00E25894"/>
    <w:rsid w:val="00E459B0"/>
    <w:rsid w:val="00E7082D"/>
    <w:rsid w:val="00ED0467"/>
    <w:rsid w:val="00EE6391"/>
    <w:rsid w:val="00EF7B55"/>
    <w:rsid w:val="00F23C04"/>
    <w:rsid w:val="00F303F4"/>
    <w:rsid w:val="00F548A6"/>
    <w:rsid w:val="00F66D93"/>
    <w:rsid w:val="00FA3D51"/>
    <w:rsid w:val="00FB387E"/>
    <w:rsid w:val="00FC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table" w:styleId="a6">
    <w:name w:val="Table Grid"/>
    <w:basedOn w:val="a1"/>
    <w:uiPriority w:val="59"/>
    <w:unhideWhenUsed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table" w:styleId="a6">
    <w:name w:val="Table Grid"/>
    <w:basedOn w:val="a1"/>
    <w:uiPriority w:val="59"/>
    <w:unhideWhenUsed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Orgotdel</cp:lastModifiedBy>
  <cp:revision>2</cp:revision>
  <cp:lastPrinted>2024-04-11T12:05:00Z</cp:lastPrinted>
  <dcterms:created xsi:type="dcterms:W3CDTF">2024-04-11T12:13:00Z</dcterms:created>
  <dcterms:modified xsi:type="dcterms:W3CDTF">2024-04-11T12:13:00Z</dcterms:modified>
</cp:coreProperties>
</file>