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2B63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2B63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август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B37A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2B63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68 857,5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</w:t>
      </w:r>
      <w:r w:rsidR="002B63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7 087,3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2B63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71,3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B37A40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29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0 %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213B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77 8</w:t>
      </w:r>
      <w:bookmarkStart w:id="0" w:name="_GoBack"/>
      <w:bookmarkEnd w:id="0"/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34,6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71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118 651,9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8 118,1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3 342,4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 272,1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2 361 658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9 359,0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20,6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62,2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2B6319" w:rsidRPr="002B6319" w:rsidRDefault="002B6319" w:rsidP="002B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319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2B6319" w:rsidRPr="002B6319" w:rsidRDefault="002B6319" w:rsidP="002B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319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2B6319" w:rsidRPr="002B6319" w:rsidRDefault="002B6319" w:rsidP="002B63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B6319">
        <w:rPr>
          <w:rFonts w:ascii="Times New Roman" w:eastAsia="Arial Unicode MS" w:hAnsi="Times New Roman" w:cs="Times New Roman"/>
          <w:b/>
        </w:rPr>
        <w:t xml:space="preserve"> Гаринского городского округа на 01.09.2023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559"/>
        <w:gridCol w:w="1276"/>
        <w:gridCol w:w="708"/>
        <w:gridCol w:w="851"/>
      </w:tblGrid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2B6319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B6319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B6319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B6319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B6319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2B6319" w:rsidRPr="002B6319" w:rsidTr="002B6319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77 834 590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82</w:t>
            </w: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+44,8</w:t>
            </w:r>
          </w:p>
        </w:tc>
      </w:tr>
      <w:tr w:rsidR="002B6319" w:rsidRPr="002B6319" w:rsidTr="002B6319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72 606 818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+47,9</w:t>
            </w:r>
          </w:p>
        </w:tc>
      </w:tr>
      <w:tr w:rsidR="002B6319" w:rsidRPr="002B6319" w:rsidTr="002B6319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65 413 019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+41,0</w:t>
            </w:r>
          </w:p>
        </w:tc>
      </w:tr>
      <w:tr w:rsidR="002B6319" w:rsidRPr="002B6319" w:rsidTr="002B631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 (Акцизы</w:t>
            </w: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</w:rPr>
              <w:t>5 818 219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</w:rPr>
              <w:t>+483,1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-36,9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+450,3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5 227 772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+12,5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1 370 173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+11,3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-5,6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-81,6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3 035 714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+22,4</w:t>
            </w:r>
          </w:p>
        </w:tc>
      </w:tr>
      <w:tr w:rsidR="002B6319" w:rsidRPr="002B6319" w:rsidTr="002B631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283 075 129,96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191 022 917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+13,4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283 075 129,96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193 384 575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+10,1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172 233 000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118 651 923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-5,6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40 416 000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-59,2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78 128 000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+194,2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000 2 02 16549 00 0000 150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8 118 149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+ 151,7</w:t>
            </w:r>
          </w:p>
        </w:tc>
      </w:tr>
      <w:tr w:rsidR="002B6319" w:rsidRPr="002B6319" w:rsidTr="002B63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+ 57,3</w:t>
            </w:r>
          </w:p>
        </w:tc>
      </w:tr>
      <w:tr w:rsidR="002B6319" w:rsidRPr="002B6319" w:rsidTr="002B63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000 2 02 25590 00 0000 150</w:t>
            </w:r>
          </w:p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5 748 749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+ 147,5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67 370 200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53 342 371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+24,1</w:t>
            </w:r>
          </w:p>
        </w:tc>
      </w:tr>
      <w:tr w:rsidR="002B6319" w:rsidRPr="002B6319" w:rsidTr="002B6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13 063 600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10 588 690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+15,3</w:t>
            </w:r>
          </w:p>
        </w:tc>
      </w:tr>
      <w:tr w:rsidR="002B6319" w:rsidRPr="002B6319" w:rsidTr="002B631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215 807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+14,6</w:t>
            </w:r>
          </w:p>
        </w:tc>
      </w:tr>
      <w:tr w:rsidR="002B6319" w:rsidRPr="002B6319" w:rsidTr="002B6319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791 074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+28,4</w:t>
            </w:r>
          </w:p>
        </w:tc>
      </w:tr>
      <w:tr w:rsidR="002B6319" w:rsidRPr="002B6319" w:rsidTr="002B6319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53 017 400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41 746 800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26,6</w:t>
            </w:r>
          </w:p>
        </w:tc>
      </w:tr>
      <w:tr w:rsidR="002B6319" w:rsidRPr="002B6319" w:rsidTr="002B631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B631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34 518 780,96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13 272 132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+257,8</w:t>
            </w:r>
          </w:p>
        </w:tc>
      </w:tr>
      <w:tr w:rsidR="002B6319" w:rsidRPr="002B6319" w:rsidTr="002B6319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387 967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B6319" w:rsidRPr="002B6319" w:rsidTr="002B631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1 210 412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-15,0</w:t>
            </w:r>
          </w:p>
        </w:tc>
      </w:tr>
      <w:tr w:rsidR="002B6319" w:rsidRPr="002B6319" w:rsidTr="002B631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631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31 862 880,96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11 673 753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+310,9</w:t>
            </w:r>
          </w:p>
        </w:tc>
      </w:tr>
      <w:tr w:rsidR="002B6319" w:rsidRPr="002B6319" w:rsidTr="002B631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B63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6319" w:rsidRPr="002B6319" w:rsidRDefault="002B6319" w:rsidP="002B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B631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- 2 361 658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- 67,1</w:t>
            </w:r>
          </w:p>
        </w:tc>
      </w:tr>
      <w:tr w:rsidR="002B6319" w:rsidRPr="002B6319" w:rsidTr="002B6319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9" w:rsidRPr="002B6319" w:rsidRDefault="002B6319" w:rsidP="002B63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377 087 329,96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268 857 507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9" w:rsidRPr="002B6319" w:rsidRDefault="002B6319" w:rsidP="002B6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63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+21,0</w:t>
            </w:r>
          </w:p>
        </w:tc>
      </w:tr>
    </w:tbl>
    <w:p w:rsidR="002B6319" w:rsidRPr="002B6319" w:rsidRDefault="002B6319" w:rsidP="002B63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</w:p>
    <w:p w:rsidR="002B6319" w:rsidRPr="002B6319" w:rsidRDefault="002B6319" w:rsidP="002B63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(82,7 %) –</w:t>
      </w: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по данному налогу связано с тем, что увеличились поступления НДФЛ от крупных предприятий.</w:t>
      </w:r>
    </w:p>
    <w:p w:rsidR="002B6319" w:rsidRPr="002B6319" w:rsidRDefault="002B6319" w:rsidP="002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ТОВАРЫ (РАБОТЫ, УСЛУГИ), РЕАЛИЗУЕМЫЕ НА ТЕРРИТОРИИ РОССИЙСКОЙ ФЕДЕРАЦИИ (Акцизы)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(74,4 %) - плановые показатели по данному доходу выполнены.</w:t>
      </w:r>
    </w:p>
    <w:p w:rsidR="002B6319" w:rsidRPr="002B6319" w:rsidRDefault="002B6319" w:rsidP="002B63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СОВОКУПНЫЙ ДОХОД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(45,3%) – неисполнение плановых показателей обусловлено снижением поступлении по УСН.</w:t>
      </w:r>
    </w:p>
    <w:p w:rsidR="002B6319" w:rsidRPr="002B6319" w:rsidRDefault="002B6319" w:rsidP="002B63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ИМУЩЕСТВО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(19,5 %) – неисполнение плановых показателей связано с тем, что срок уплаты налога на имущество до 01 декабря 2023 года. </w:t>
      </w:r>
    </w:p>
    <w:p w:rsidR="002B6319" w:rsidRPr="002B6319" w:rsidRDefault="002B6319" w:rsidP="002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ЗЕМЕЛЬНЫЙ НАЛО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Г (64,1 %) – плановые показатели по данному налогу выполнены.</w:t>
      </w:r>
    </w:p>
    <w:p w:rsidR="002B6319" w:rsidRPr="002B6319" w:rsidRDefault="002B6319" w:rsidP="002B63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ГОСУДАРСТВЕННАЯ ПОШЛИНА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(55,5 %)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</w:r>
    </w:p>
    <w:p w:rsidR="002B6319" w:rsidRPr="002B6319" w:rsidRDefault="002B6319" w:rsidP="002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ИСПОЛЬЗОВАНИЯ ИМУЩЕСТВА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(70,8 %) –</w:t>
      </w: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по данному доходу выполнены.</w:t>
      </w:r>
    </w:p>
    <w:p w:rsidR="002B6319" w:rsidRPr="002B6319" w:rsidRDefault="002B6319" w:rsidP="002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ПЛАТЕЖИ ПРИ ПОЛЬЗОВАНИИ ПРИРОДНЫМИ РЕСУРСАМИ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(70,9 %) - плановые показатели по данному доходу выполнены.</w:t>
      </w:r>
    </w:p>
    <w:p w:rsidR="002B6319" w:rsidRPr="002B6319" w:rsidRDefault="002B6319" w:rsidP="002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ОКАЗАНИЯ ПЛАТНЫХ УСЛУГ (РАБОТ)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(69,5 %) –</w:t>
      </w: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по данному доходу выполнены.</w:t>
      </w:r>
    </w:p>
    <w:p w:rsidR="002B6319" w:rsidRPr="002B6319" w:rsidRDefault="002B6319" w:rsidP="002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ПРОДАЖИ МАТЕРИАЛЬНЫХ И НЕМАТЕРИАЛЬНЫХ АКТИВОВ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(60,1 %)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B6319" w:rsidRPr="002B6319" w:rsidRDefault="002B6319" w:rsidP="002B63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ШТРАФЫ, САНКЦИИ, ВОЗМЕЩЕНИЕ УЩЕРБА </w:t>
      </w:r>
      <w:r w:rsidRPr="002B6319">
        <w:rPr>
          <w:rFonts w:ascii="Times New Roman" w:eastAsia="Times New Roman" w:hAnsi="Times New Roman" w:cs="Times New Roman"/>
          <w:sz w:val="24"/>
          <w:szCs w:val="24"/>
          <w:lang w:eastAsia="ru-RU"/>
        </w:rPr>
        <w:t>(265,7 %)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9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5470"/>
      </w:tblGrid>
      <w:tr w:rsidR="00C41EDD" w:rsidRPr="00E91FEE" w:rsidTr="00213BE3">
        <w:trPr>
          <w:gridAfter w:val="1"/>
          <w:wAfter w:w="5470" w:type="dxa"/>
          <w:trHeight w:val="6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512" w:rsidRPr="00E91FEE" w:rsidRDefault="006362D8" w:rsidP="00150512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50512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C84916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D9042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43 753,1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ыс. руб.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3 199,6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% , что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62,2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5,9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90116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неисполнение составило 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36083">
              <w:rPr>
                <w:rFonts w:ascii="Liberation Serif" w:hAnsi="Liberation Serif" w:cs="Times New Roman"/>
                <w:sz w:val="24"/>
                <w:szCs w:val="24"/>
              </w:rPr>
              <w:t>5 697,1</w:t>
            </w:r>
            <w:r w:rsidR="007F6FC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p w:rsidR="00236083" w:rsidRP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</w:t>
            </w:r>
            <w:r w:rsidRPr="0023608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в разрезе подразделов за январь-август 2023 года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(в руб.коп)</w:t>
            </w:r>
          </w:p>
          <w:tbl>
            <w:tblPr>
              <w:tblW w:w="10320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2215"/>
              <w:gridCol w:w="924"/>
              <w:gridCol w:w="1628"/>
              <w:gridCol w:w="1701"/>
              <w:gridCol w:w="1639"/>
              <w:gridCol w:w="992"/>
            </w:tblGrid>
            <w:tr w:rsidR="00236083" w:rsidRPr="00236083" w:rsidTr="00236083">
              <w:trPr>
                <w:gridAfter w:val="6"/>
                <w:wAfter w:w="9099" w:type="dxa"/>
                <w:trHeight w:val="319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6083" w:rsidRPr="00236083" w:rsidTr="00236083">
              <w:trPr>
                <w:gridAfter w:val="6"/>
                <w:wAfter w:w="9099" w:type="dxa"/>
                <w:trHeight w:val="315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6083" w:rsidRPr="00236083" w:rsidTr="00236083">
              <w:trPr>
                <w:trHeight w:val="765"/>
              </w:trPr>
              <w:tc>
                <w:tcPr>
                  <w:tcW w:w="34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236083" w:rsidRPr="00236083" w:rsidTr="00236083">
              <w:trPr>
                <w:trHeight w:val="408"/>
              </w:trPr>
              <w:tc>
                <w:tcPr>
                  <w:tcW w:w="3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083" w:rsidRPr="00236083" w:rsidTr="00236083">
              <w:trPr>
                <w:trHeight w:val="76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1 332 484,35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546 024,65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70,93%</w:t>
                  </w:r>
                </w:p>
              </w:tc>
            </w:tr>
            <w:tr w:rsidR="00236083" w:rsidRPr="00236083" w:rsidTr="00236083">
              <w:trPr>
                <w:trHeight w:val="127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2 119 324,08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1 444 788,92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59,46%</w:t>
                  </w:r>
                </w:p>
              </w:tc>
            </w:tr>
            <w:tr w:rsidR="00236083" w:rsidRPr="00236083" w:rsidTr="00236083">
              <w:trPr>
                <w:trHeight w:val="127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13 471 772,53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9 086 742,47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59,72%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236083" w:rsidRPr="00236083" w:rsidTr="00236083">
              <w:trPr>
                <w:trHeight w:val="102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7 328 659,33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3 448 185,67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68,00%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16 575 642,00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10 384 335,85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6 191 306,15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62,65%</w:t>
                  </w:r>
                </w:p>
              </w:tc>
            </w:tr>
            <w:tr w:rsidR="00236083" w:rsidRPr="00236083" w:rsidTr="00236083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215 806,94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120 593,06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64,15%</w:t>
                  </w:r>
                </w:p>
              </w:tc>
            </w:tr>
            <w:tr w:rsidR="00236083" w:rsidRPr="00236083" w:rsidTr="00236083">
              <w:trPr>
                <w:trHeight w:val="102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11 978 685,00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5 465 096,30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6 513 588,70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45,62%</w:t>
                  </w:r>
                </w:p>
              </w:tc>
            </w:tr>
            <w:tr w:rsidR="00236083" w:rsidRPr="00236083" w:rsidTr="00236083">
              <w:trPr>
                <w:trHeight w:val="76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59,80%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33 905 828,88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16 621 879,37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17 283 949,51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49,02%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19 112 193,66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28 712 509,34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39,96%</w:t>
                  </w:r>
                </w:p>
              </w:tc>
            </w:tr>
            <w:tr w:rsidR="00236083" w:rsidRPr="00236083" w:rsidTr="00236083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14 543 859,70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12 077 736,00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2 466 123,70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83,04%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3 660 741,20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101 077,95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3 559 663,25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2,76%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7 468 850,10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6 474 049,29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994 800,81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86,68%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39 360 151,00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13 407 120,28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25 953 030,72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34,06%</w:t>
                  </w:r>
                </w:p>
              </w:tc>
            </w:tr>
            <w:tr w:rsidR="00236083" w:rsidRPr="00236083" w:rsidTr="00236083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236083" w:rsidRPr="00236083" w:rsidTr="00236083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5 893 800,00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3,93%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23 653 705,00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17 051 829,00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6 601 876,00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72,09%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78 709 274,00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44 122 160,56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34 587 113,44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56,06%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32 763 927,96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21 518 284,04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11 245 643,92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65,68%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65 501,00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106 065,00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38,18%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15 589 292,00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10 675 326,56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4 913 965,44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68,48%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39 049 139,00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27 389 501,73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11 659 637,27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70,14%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3 879 462,32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2 019 778,68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65,76%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9 525 611,62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2 727 388,38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77,74%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55 070,50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1 364 736,50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3,88%</w:t>
                  </w:r>
                </w:p>
              </w:tc>
            </w:tr>
            <w:tr w:rsidR="00236083" w:rsidRPr="00236083" w:rsidTr="00236083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511 017,35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1 051 282,65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32,71%</w:t>
                  </w:r>
                </w:p>
              </w:tc>
            </w:tr>
            <w:tr w:rsidR="00236083" w:rsidRPr="00236083" w:rsidTr="00236083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209 324,10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243 075,90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46,27%</w:t>
                  </w:r>
                </w:p>
              </w:tc>
            </w:tr>
            <w:tr w:rsidR="00236083" w:rsidRPr="00236083" w:rsidTr="00236083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385 533,84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91 916,16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80,75%</w:t>
                  </w:r>
                </w:p>
              </w:tc>
            </w:tr>
            <w:tr w:rsidR="00236083" w:rsidRPr="00236083" w:rsidTr="00236083">
              <w:trPr>
                <w:trHeight w:val="255"/>
              </w:trPr>
              <w:tc>
                <w:tcPr>
                  <w:tcW w:w="4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433 199 585,96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243 753 058,55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189 446 527,41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36083" w:rsidRPr="00236083" w:rsidRDefault="00236083" w:rsidP="002360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08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56,27%</w:t>
                  </w:r>
                </w:p>
              </w:tc>
            </w:tr>
          </w:tbl>
          <w:p w:rsidR="00236083" w:rsidRDefault="00236083" w:rsidP="0023608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36083" w:rsidRPr="00D9042C" w:rsidRDefault="00040E7B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бюджетополучателей за период январь – август 2023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(руб. коп)</w:t>
            </w:r>
          </w:p>
          <w:tbl>
            <w:tblPr>
              <w:tblW w:w="10356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67"/>
              <w:gridCol w:w="236"/>
              <w:gridCol w:w="461"/>
              <w:gridCol w:w="188"/>
              <w:gridCol w:w="18"/>
              <w:gridCol w:w="1420"/>
              <w:gridCol w:w="1869"/>
              <w:gridCol w:w="1700"/>
              <w:gridCol w:w="1558"/>
              <w:gridCol w:w="1552"/>
              <w:gridCol w:w="835"/>
            </w:tblGrid>
            <w:tr w:rsidR="00040E7B" w:rsidRPr="00040E7B" w:rsidTr="00040E7B">
              <w:trPr>
                <w:gridAfter w:val="8"/>
                <w:wAfter w:w="9141" w:type="dxa"/>
                <w:trHeight w:val="319"/>
              </w:trPr>
              <w:tc>
                <w:tcPr>
                  <w:tcW w:w="12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0E7B" w:rsidRPr="00040E7B" w:rsidTr="00040E7B">
              <w:trPr>
                <w:gridAfter w:val="8"/>
                <w:wAfter w:w="9141" w:type="dxa"/>
                <w:trHeight w:val="315"/>
              </w:trPr>
              <w:tc>
                <w:tcPr>
                  <w:tcW w:w="12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0E7B" w:rsidRPr="00040E7B" w:rsidTr="00040E7B">
              <w:trPr>
                <w:trHeight w:val="765"/>
              </w:trPr>
              <w:tc>
                <w:tcPr>
                  <w:tcW w:w="4712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040E7B" w:rsidRPr="00040E7B" w:rsidTr="00040E7B">
              <w:trPr>
                <w:trHeight w:val="408"/>
              </w:trPr>
              <w:tc>
                <w:tcPr>
                  <w:tcW w:w="4712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0E7B" w:rsidRPr="00040E7B" w:rsidTr="00040E7B">
              <w:trPr>
                <w:trHeight w:val="51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79 039 039,50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55 155 164,30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23 883 875,20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69,78%</w:t>
                  </w:r>
                </w:p>
              </w:tc>
            </w:tr>
            <w:tr w:rsidR="00040E7B" w:rsidRPr="00040E7B" w:rsidTr="00040E7B">
              <w:trPr>
                <w:trHeight w:val="51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4 071 047,00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2 452 696,16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1 618 350,84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60,25%</w:t>
                  </w:r>
                </w:p>
              </w:tc>
            </w:tr>
            <w:tr w:rsidR="00040E7B" w:rsidRPr="00040E7B" w:rsidTr="00040E7B">
              <w:trPr>
                <w:trHeight w:val="51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3 154 160,00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2 139 832,27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1 014 327,73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67,84%</w:t>
                  </w:r>
                </w:p>
              </w:tc>
            </w:tr>
            <w:tr w:rsidR="00040E7B" w:rsidRPr="00040E7B" w:rsidTr="00040E7B">
              <w:trPr>
                <w:trHeight w:val="102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12 499 877,00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7 736 990,92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4 762 886,08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61,90%</w:t>
                  </w:r>
                </w:p>
              </w:tc>
            </w:tr>
            <w:tr w:rsidR="00040E7B" w:rsidRPr="00040E7B" w:rsidTr="00040E7B">
              <w:trPr>
                <w:trHeight w:val="765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134 322 003,50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50 402 921,61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83 919 081,89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37,52%</w:t>
                  </w:r>
                </w:p>
              </w:tc>
            </w:tr>
            <w:tr w:rsidR="00040E7B" w:rsidRPr="00040E7B" w:rsidTr="00040E7B">
              <w:trPr>
                <w:trHeight w:val="102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69 818 308,00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39 441 252,67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30 377 055,33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56,49%</w:t>
                  </w:r>
                </w:p>
              </w:tc>
            </w:tr>
            <w:tr w:rsidR="00040E7B" w:rsidRPr="00040E7B" w:rsidTr="00040E7B">
              <w:trPr>
                <w:trHeight w:val="102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10 067 412,00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4 998 763,08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5 068 648,92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49,65%</w:t>
                  </w:r>
                </w:p>
              </w:tc>
            </w:tr>
            <w:tr w:rsidR="00040E7B" w:rsidRPr="00040E7B" w:rsidTr="00040E7B">
              <w:trPr>
                <w:trHeight w:val="102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36 472 814,00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25 095 456,03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11 377 357,97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68,81%</w:t>
                  </w:r>
                </w:p>
              </w:tc>
            </w:tr>
            <w:tr w:rsidR="00040E7B" w:rsidRPr="00040E7B" w:rsidTr="00040E7B">
              <w:trPr>
                <w:trHeight w:val="765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32 938 827,96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21 693 184,04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11 245 643,92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65,86%</w:t>
                  </w:r>
                </w:p>
              </w:tc>
            </w:tr>
            <w:tr w:rsidR="00040E7B" w:rsidRPr="00040E7B" w:rsidTr="00040E7B">
              <w:trPr>
                <w:trHeight w:val="1020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39 387 139,00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27 549 961,44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11 837 177,56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69,95%</w:t>
                  </w:r>
                </w:p>
              </w:tc>
            </w:tr>
            <w:tr w:rsidR="00040E7B" w:rsidRPr="00040E7B" w:rsidTr="00040E7B">
              <w:trPr>
                <w:trHeight w:val="765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11 428 958,00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7 086 836,03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4 342 121,97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62,01%</w:t>
                  </w:r>
                </w:p>
              </w:tc>
            </w:tr>
            <w:tr w:rsidR="00040E7B" w:rsidRPr="00040E7B" w:rsidTr="00040E7B">
              <w:trPr>
                <w:trHeight w:val="765"/>
              </w:trPr>
              <w:tc>
                <w:tcPr>
                  <w:tcW w:w="4712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расходов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040E7B" w:rsidRPr="00040E7B" w:rsidRDefault="00040E7B" w:rsidP="00040E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433 199 585,96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040E7B" w:rsidRPr="00040E7B" w:rsidRDefault="00040E7B" w:rsidP="00040E7B">
                  <w:pPr>
                    <w:spacing w:after="0" w:line="240" w:lineRule="auto"/>
                    <w:ind w:right="-25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058,55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040E7B" w:rsidRPr="00040E7B" w:rsidRDefault="00040E7B" w:rsidP="00040E7B">
                  <w:pPr>
                    <w:spacing w:after="0" w:line="240" w:lineRule="auto"/>
                    <w:ind w:left="-108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189 446 527,41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040E7B" w:rsidRPr="00040E7B" w:rsidRDefault="00040E7B" w:rsidP="00040E7B">
                  <w:pPr>
                    <w:spacing w:after="0" w:line="240" w:lineRule="auto"/>
                    <w:ind w:left="-102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56,27%</w:t>
                  </w:r>
                </w:p>
              </w:tc>
            </w:tr>
            <w:tr w:rsidR="00040E7B" w:rsidRPr="00040E7B" w:rsidTr="00040E7B">
              <w:trPr>
                <w:trHeight w:val="255"/>
              </w:trPr>
              <w:tc>
                <w:tcPr>
                  <w:tcW w:w="4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40E7B" w:rsidRPr="00040E7B" w:rsidTr="00040E7B">
              <w:trPr>
                <w:gridAfter w:val="5"/>
                <w:wAfter w:w="7514" w:type="dxa"/>
                <w:trHeight w:val="300"/>
              </w:trPr>
              <w:tc>
                <w:tcPr>
                  <w:tcW w:w="14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0E7B" w:rsidRPr="00040E7B" w:rsidRDefault="00040E7B" w:rsidP="00040E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0E7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65B9" w:rsidRPr="00E91FEE" w:rsidTr="00040E7B">
              <w:trPr>
                <w:gridAfter w:val="8"/>
                <w:wAfter w:w="9145" w:type="dxa"/>
                <w:trHeight w:val="61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058" w:rsidRPr="00E91FEE" w:rsidTr="00040E7B">
              <w:trPr>
                <w:gridAfter w:val="9"/>
                <w:wAfter w:w="9602" w:type="dxa"/>
                <w:trHeight w:val="274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80E8E" w:rsidRPr="00E91FEE" w:rsidTr="00040E7B">
              <w:trPr>
                <w:gridAfter w:val="7"/>
                <w:wAfter w:w="8953" w:type="dxa"/>
                <w:trHeight w:val="1"/>
              </w:trPr>
              <w:tc>
                <w:tcPr>
                  <w:tcW w:w="14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</w:p>
          <w:p w:rsidR="00237537" w:rsidRPr="00EF6E6B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50D90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040E7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80E8E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F6E6B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EF6E6B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EF6E6B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EF6E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040E7B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E91FEE" w:rsidRPr="00EF6E6B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01.0</w:t>
            </w:r>
            <w:r w:rsidR="00040E7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2023 г. утвержденные назначения бюджетных ассигнований по муниципальным программам составили в сумме 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3,1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руб, из общей суммы объема расходов 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3 199,6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руб. и составляют 8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6,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% .</w:t>
            </w:r>
          </w:p>
          <w:p w:rsidR="00E91FEE" w:rsidRDefault="00E91FEE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январь-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214 501,5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руб. на 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>7,5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%  от утвержденных назначений , в том числе в разрезе муниципальных программ:</w:t>
            </w:r>
          </w:p>
          <w:tbl>
            <w:tblPr>
              <w:tblW w:w="1049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2522"/>
              <w:gridCol w:w="824"/>
              <w:gridCol w:w="1701"/>
              <w:gridCol w:w="1667"/>
              <w:gridCol w:w="1562"/>
              <w:gridCol w:w="990"/>
            </w:tblGrid>
            <w:tr w:rsidR="00757C54" w:rsidRPr="009705E9" w:rsidTr="00213BE3">
              <w:trPr>
                <w:gridAfter w:val="6"/>
                <w:wAfter w:w="9266" w:type="dxa"/>
                <w:trHeight w:val="319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57C54" w:rsidRPr="009705E9" w:rsidTr="00213BE3">
              <w:trPr>
                <w:gridAfter w:val="6"/>
                <w:wAfter w:w="9266" w:type="dxa"/>
                <w:trHeight w:val="315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757C54" w:rsidRPr="009705E9" w:rsidTr="00213BE3">
              <w:trPr>
                <w:trHeight w:val="408"/>
              </w:trPr>
              <w:tc>
                <w:tcPr>
                  <w:tcW w:w="374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5 917 241,00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3 886 668,32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2 030 572,68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757C54">
                  <w:pPr>
                    <w:spacing w:after="0" w:line="240" w:lineRule="auto"/>
                    <w:ind w:left="-108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65,68%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6 529 880,00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5 438 279,19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1 091 600,81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83,28%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6 150 880,00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5 197 279,19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953 600,81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84,50%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63,59%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60 587 553,00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29 912 745,16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30 674 807,84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49,37%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2 678 960,00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1 196 365,25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1 482 594,75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44,66%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144 128 018,00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87 706 884,06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56 421 133,94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60,85%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23 007 923,00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16 567 492,00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6 440 431,00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72,01%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78 862 308,80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44 137 193,58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34 725 115,22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55,97%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24 705 334,00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14 934 031,41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9 771 302,59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60,45%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2 556 925,00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2 550 544,81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6 380,19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99,75%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2 650 060,20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1 780 807,23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869 252,97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67,20%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12 345 467,00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7 736 815,03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4 608 651,97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62,67%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89 959,71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269 040,29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25,06%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69 459,71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220 540,29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23,95%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15,00%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36,67%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30,43%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39 021 139,00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27 384 801,73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11 636 337,27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70,18%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32 755 639,00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23 450 675,04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9 304 963,96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71,59%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6 265 500,00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3 934 126,69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2 331 373,31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62,79%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65 501,00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106 065,00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38,18%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209 324,10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243 075,90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46,27%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8 353 185,00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5 772 927,06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2 580 257,94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69,11%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584 100,00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146 400,00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79,96%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7 622 685,00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5 188 827,06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2 433 857,94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68,07%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143 446,59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100 553,41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58,79%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39 364 845,00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14 781 995,91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24 582 849,09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37,55%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4 448,50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171 551,50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2,53%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4 445 569,90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116 607,00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4 328 962,90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2,62%</w:t>
                  </w:r>
                </w:p>
              </w:tc>
            </w:tr>
            <w:tr w:rsidR="00757C54" w:rsidRPr="009705E9" w:rsidTr="00213BE3">
              <w:trPr>
                <w:trHeight w:val="127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1 670 888,00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101 077,95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1 569 810,05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1 926 273,00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481 333,22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1 444 939,78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24,99%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1 911 273,00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466 333,22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1 444 939,78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24,40%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757C54" w:rsidRPr="009705E9" w:rsidTr="00213BE3">
              <w:trPr>
                <w:trHeight w:val="153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55 704 354,00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37 200 723,87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18 503 630,13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66,78%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385 533,84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91 916,16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80,75%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13 488 300,00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9 956 169,26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3 532 130,74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73,81%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213BE3">
                  <w:pPr>
                    <w:spacing w:after="0" w:line="240" w:lineRule="auto"/>
                    <w:ind w:left="-142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187 088,12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213BE3">
                  <w:pPr>
                    <w:spacing w:after="0" w:line="240" w:lineRule="auto"/>
                    <w:ind w:left="-139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19 911,88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213BE3">
                  <w:pPr>
                    <w:spacing w:after="0" w:line="240" w:lineRule="auto"/>
                    <w:ind w:right="-139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90,38%</w:t>
                  </w:r>
                </w:p>
              </w:tc>
            </w:tr>
            <w:tr w:rsidR="00757C54" w:rsidRPr="009705E9" w:rsidTr="00213BE3">
              <w:trPr>
                <w:trHeight w:val="51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125 919,00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57 290,00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757C54">
                  <w:pPr>
                    <w:spacing w:after="0" w:line="240" w:lineRule="auto"/>
                    <w:ind w:left="-209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68 629,00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45,50%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34 649 508,00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21 577 855,22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13 071 652,78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213BE3">
                  <w:pPr>
                    <w:spacing w:after="0" w:line="240" w:lineRule="auto"/>
                    <w:ind w:left="-141" w:right="-74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62,27%</w:t>
                  </w:r>
                </w:p>
              </w:tc>
            </w:tr>
            <w:tr w:rsidR="00757C54" w:rsidRPr="009705E9" w:rsidTr="00213BE3">
              <w:trPr>
                <w:trHeight w:val="102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5 415 000,00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3 948 220,49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1 466 779,51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72,91%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215 806,94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120 593,06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64,15%</w:t>
                  </w:r>
                </w:p>
              </w:tc>
            </w:tr>
            <w:tr w:rsidR="00757C54" w:rsidRPr="009705E9" w:rsidTr="00213BE3">
              <w:trPr>
                <w:trHeight w:val="765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981 828,00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872 760,00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109 068,00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88,89%</w:t>
                  </w:r>
                </w:p>
              </w:tc>
            </w:tr>
            <w:tr w:rsidR="00757C54" w:rsidRPr="009705E9" w:rsidTr="00213BE3">
              <w:trPr>
                <w:trHeight w:val="525"/>
              </w:trPr>
              <w:tc>
                <w:tcPr>
                  <w:tcW w:w="45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373 033 078,90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757C54" w:rsidRPr="009705E9" w:rsidRDefault="00757C54" w:rsidP="00213BE3">
                  <w:pPr>
                    <w:spacing w:after="0" w:line="240" w:lineRule="auto"/>
                    <w:ind w:left="-142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214 501 488,62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158 531 590,28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57,50%</w:t>
                  </w:r>
                </w:p>
              </w:tc>
            </w:tr>
            <w:tr w:rsidR="00757C54" w:rsidRPr="009705E9" w:rsidTr="00213BE3">
              <w:trPr>
                <w:trHeight w:val="300"/>
              </w:trPr>
              <w:tc>
                <w:tcPr>
                  <w:tcW w:w="374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60 166 507,06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29 251 569,93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30 914 937,13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48,62%</w:t>
                  </w:r>
                </w:p>
              </w:tc>
            </w:tr>
            <w:tr w:rsidR="00757C54" w:rsidRPr="009705E9" w:rsidTr="00213BE3">
              <w:trPr>
                <w:trHeight w:val="420"/>
              </w:trPr>
              <w:tc>
                <w:tcPr>
                  <w:tcW w:w="45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213BE3">
                  <w:pPr>
                    <w:spacing w:after="0" w:line="240" w:lineRule="auto"/>
                    <w:ind w:left="-142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433 199 585,96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243 753 058,55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757C54">
                  <w:pPr>
                    <w:spacing w:after="0" w:line="240" w:lineRule="auto"/>
                    <w:ind w:left="-105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189 446 527,41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56,27%</w:t>
                  </w:r>
                </w:p>
              </w:tc>
            </w:tr>
          </w:tbl>
          <w:p w:rsid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F6E6B" w:rsidRPr="00E91FEE" w:rsidRDefault="00EF6E6B" w:rsidP="00EF6E6B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F6E6B" w:rsidRP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F6E6B" w:rsidTr="00213BE3">
        <w:trPr>
          <w:trHeight w:val="255"/>
        </w:trPr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B" w:rsidRDefault="00EF6E6B" w:rsidP="00213BE3">
            <w:pPr>
              <w:ind w:left="-250" w:firstLine="25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8A" w:rsidRDefault="0094648A" w:rsidP="00A01D62">
      <w:pPr>
        <w:spacing w:after="0" w:line="240" w:lineRule="auto"/>
      </w:pPr>
      <w:r>
        <w:separator/>
      </w:r>
    </w:p>
  </w:endnote>
  <w:endnote w:type="continuationSeparator" w:id="0">
    <w:p w:rsidR="0094648A" w:rsidRDefault="0094648A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9705E9" w:rsidRDefault="009705E9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4648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705E9" w:rsidRDefault="009705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8A" w:rsidRDefault="0094648A" w:rsidP="00A01D62">
      <w:pPr>
        <w:spacing w:after="0" w:line="240" w:lineRule="auto"/>
      </w:pPr>
      <w:r>
        <w:separator/>
      </w:r>
    </w:p>
  </w:footnote>
  <w:footnote w:type="continuationSeparator" w:id="0">
    <w:p w:rsidR="0094648A" w:rsidRDefault="0094648A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40E7B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13BE3"/>
    <w:rsid w:val="0022239E"/>
    <w:rsid w:val="0022370D"/>
    <w:rsid w:val="00236083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6319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3704F"/>
    <w:rsid w:val="00757C54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50D90"/>
    <w:rsid w:val="008603BF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4648A"/>
    <w:rsid w:val="00956A9B"/>
    <w:rsid w:val="00956AF1"/>
    <w:rsid w:val="009705E9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2C52"/>
    <w:rsid w:val="00A23CAB"/>
    <w:rsid w:val="00A465B9"/>
    <w:rsid w:val="00A537F2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37A40"/>
    <w:rsid w:val="00B523BD"/>
    <w:rsid w:val="00B63D6D"/>
    <w:rsid w:val="00B6596B"/>
    <w:rsid w:val="00BB4342"/>
    <w:rsid w:val="00BB685C"/>
    <w:rsid w:val="00BC3A42"/>
    <w:rsid w:val="00BE7EC1"/>
    <w:rsid w:val="00C10412"/>
    <w:rsid w:val="00C166D6"/>
    <w:rsid w:val="00C41EDD"/>
    <w:rsid w:val="00C42168"/>
    <w:rsid w:val="00C5389E"/>
    <w:rsid w:val="00C60823"/>
    <w:rsid w:val="00C7234D"/>
    <w:rsid w:val="00C84916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9042C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EE6A37"/>
    <w:rsid w:val="00EF6E6B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551-0344-4205-B908-20ECDD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4331-7CA3-457C-8F93-8BCF752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01.09.2023 года </vt:lpstr>
    </vt:vector>
  </TitlesOfParts>
  <Company/>
  <LinksUpToDate>false</LinksUpToDate>
  <CharactersWithSpaces>22825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2023-09-06T05:53:00Z</cp:lastPrinted>
  <dcterms:created xsi:type="dcterms:W3CDTF">2023-08-02T08:44:00Z</dcterms:created>
  <dcterms:modified xsi:type="dcterms:W3CDTF">2023-09-06T05:53:00Z</dcterms:modified>
</cp:coreProperties>
</file>