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200" w:line="276"/>
        <w:ind w:right="0" w:left="0" w:firstLine="0"/>
        <w:jc w:val="both"/>
        <w:rPr>
          <w:rFonts w:ascii="Segoe UI" w:hAnsi="Segoe UI" w:cs="Segoe UI" w:eastAsia="Segoe UI"/>
          <w:b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both"/>
        <w:rPr>
          <w:rFonts w:ascii="Segoe UI" w:hAnsi="Segoe UI" w:cs="Segoe UI" w:eastAsia="Segoe UI"/>
          <w:b/>
          <w:color w:val="auto"/>
          <w:spacing w:val="0"/>
          <w:position w:val="0"/>
          <w:sz w:val="22"/>
          <w:shd w:fill="auto" w:val="clear"/>
        </w:rPr>
      </w:pPr>
      <w:r>
        <w:object w:dxaOrig="3916" w:dyaOrig="1627">
          <v:rect xmlns:o="urn:schemas-microsoft-com:office:office" xmlns:v="urn:schemas-microsoft-com:vml" id="rectole0000000000" style="width:195.800000pt;height:81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Segoe UI" w:hAnsi="Segoe UI" w:cs="Segoe UI" w:eastAsia="Segoe UI"/>
          <w:b/>
          <w:color w:val="auto"/>
          <w:spacing w:val="0"/>
          <w:position w:val="0"/>
          <w:sz w:val="32"/>
          <w:shd w:fill="auto" w:val="clear"/>
        </w:rPr>
        <w:t xml:space="preserve">                                         </w:t>
      </w:r>
      <w:r>
        <w:rPr>
          <w:rFonts w:ascii="Segoe UI" w:hAnsi="Segoe UI" w:cs="Segoe UI" w:eastAsia="Segoe UI"/>
          <w:b/>
          <w:color w:val="auto"/>
          <w:spacing w:val="0"/>
          <w:position w:val="0"/>
          <w:sz w:val="22"/>
          <w:shd w:fill="auto" w:val="clear"/>
        </w:rPr>
        <w:t xml:space="preserve">ПРЕСС-РЕЛИЗ</w:t>
      </w:r>
    </w:p>
    <w:p>
      <w:pPr>
        <w:spacing w:before="0" w:after="200" w:line="276"/>
        <w:ind w:right="0" w:left="0" w:firstLine="0"/>
        <w:jc w:val="center"/>
        <w:rPr>
          <w:rFonts w:ascii="Segoe UI" w:hAnsi="Segoe UI" w:cs="Segoe UI" w:eastAsia="Segoe UI"/>
          <w:color w:val="auto"/>
          <w:spacing w:val="0"/>
          <w:position w:val="0"/>
          <w:sz w:val="32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32"/>
          <w:shd w:fill="auto" w:val="clear"/>
        </w:rPr>
        <w:t xml:space="preserve">Результаты проведенного опроса граждан в офисах МФЦ</w:t>
      </w:r>
    </w:p>
    <w:p>
      <w:pPr>
        <w:spacing w:before="0" w:after="0" w:line="240"/>
        <w:ind w:right="0" w:left="0" w:firstLine="708"/>
        <w:jc w:val="both"/>
        <w:rPr>
          <w:rFonts w:ascii="Segoe UI" w:hAnsi="Segoe UI" w:cs="Segoe UI" w:eastAsia="Segoe UI"/>
          <w:color w:val="auto"/>
          <w:spacing w:val="0"/>
          <w:position w:val="0"/>
          <w:sz w:val="24"/>
          <w:shd w:fill="FFFFFF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FFFFFF" w:val="clear"/>
        </w:rPr>
        <w:t xml:space="preserve">Управление Росреестра по Свердловской области информирует о том, что в период с 28.03.2018г. по 11.04.2018г. был проведен опрос граждан, обратившихся             в офисы </w:t>
      </w:r>
      <w:r>
        <w:rPr>
          <w:rFonts w:ascii="Segoe UI" w:hAnsi="Segoe UI" w:cs="Segoe UI" w:eastAsia="Segoe UI"/>
          <w:color w:val="000000"/>
          <w:spacing w:val="0"/>
          <w:position w:val="0"/>
          <w:sz w:val="24"/>
          <w:shd w:fill="FFFFFF" w:val="clear"/>
        </w:rPr>
        <w:t xml:space="preserve">ГБУ СО </w:t>
      </w:r>
      <w:r>
        <w:rPr>
          <w:rFonts w:ascii="Segoe UI" w:hAnsi="Segoe UI" w:cs="Segoe UI" w:eastAsia="Segoe UI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Segoe UI" w:hAnsi="Segoe UI" w:cs="Segoe UI" w:eastAsia="Segoe UI"/>
          <w:color w:val="000000"/>
          <w:spacing w:val="0"/>
          <w:position w:val="0"/>
          <w:sz w:val="24"/>
          <w:shd w:fill="FFFFFF" w:val="clear"/>
        </w:rPr>
        <w:t xml:space="preserve">Многофункциональный центр предоставления государственных     и муниципальных услуг</w:t>
      </w:r>
      <w:r>
        <w:rPr>
          <w:rFonts w:ascii="Segoe UI" w:hAnsi="Segoe UI" w:cs="Segoe UI" w:eastAsia="Segoe UI"/>
          <w:color w:val="000000"/>
          <w:spacing w:val="0"/>
          <w:position w:val="0"/>
          <w:sz w:val="24"/>
          <w:shd w:fill="FFFFFF" w:val="clear"/>
        </w:rPr>
        <w:t xml:space="preserve">»</w:t>
      </w: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FFFFFF" w:val="clear"/>
        </w:rPr>
        <w:t xml:space="preserve"> (</w:t>
      </w: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FFFFFF" w:val="clear"/>
        </w:rPr>
        <w:t xml:space="preserve">далее - МФЦ) за получением услуги Росреестра </w:t>
      </w: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FFFFFF" w:val="clear"/>
        </w:rPr>
        <w:t xml:space="preserve">Предоставление сведений из ЕГРН</w:t>
      </w: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FFFFFF" w:val="clear"/>
        </w:rPr>
        <w:t xml:space="preserve">». </w:t>
      </w:r>
    </w:p>
    <w:p>
      <w:pPr>
        <w:spacing w:before="0" w:after="0" w:line="240"/>
        <w:ind w:right="0" w:left="0" w:firstLine="709"/>
        <w:jc w:val="both"/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Анкетирование проводилось в офисах МФЦ г. Екатеринбурга, г. Каменск-Уральского, г. Нижнего Тагила, г. Серова, г. Новоуральска, г. Первоуральска. </w:t>
      </w:r>
    </w:p>
    <w:p>
      <w:pPr>
        <w:spacing w:before="0" w:after="0" w:line="240"/>
        <w:ind w:right="0" w:left="0" w:firstLine="709"/>
        <w:jc w:val="both"/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Опрос проведен с целью определения причин получения сведений               из Единого государственного реестра недвижимости (далее - ЕГРН) на бумажных носителях. В опросе приняло участие 658 физических лиц и 69 представителей юридических лиц. </w:t>
      </w:r>
    </w:p>
    <w:p>
      <w:pPr>
        <w:spacing w:before="0" w:after="0" w:line="240"/>
        <w:ind w:right="0" w:left="0" w:firstLine="0"/>
        <w:jc w:val="both"/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Наиболее востребованный вид информации среди заявителей - Выписка         из ЕГРН об основных характеристиках и зарегистрированных правах на объект недвижимости. Её запросили </w:t>
      </w:r>
      <w:r>
        <w:rPr>
          <w:rFonts w:ascii="Segoe UI" w:hAnsi="Segoe UI" w:cs="Segoe UI" w:eastAsia="Segoe UI"/>
          <w:b/>
          <w:color w:val="auto"/>
          <w:spacing w:val="0"/>
          <w:position w:val="0"/>
          <w:sz w:val="24"/>
          <w:shd w:fill="auto" w:val="clear"/>
        </w:rPr>
        <w:t xml:space="preserve">55%</w:t>
      </w: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 от числа всех опрошенных заявителей. </w:t>
      </w:r>
    </w:p>
    <w:p>
      <w:pPr>
        <w:spacing w:before="0" w:after="0" w:line="240"/>
        <w:ind w:right="0" w:left="0" w:firstLine="708"/>
        <w:jc w:val="both"/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На втором месте по востребованности Выписка о правах отдельного лица    на имевшиеся (имеющиеся) объекты недвижимости - 17% заявителей.</w:t>
      </w:r>
    </w:p>
    <w:p>
      <w:pPr>
        <w:spacing w:before="0" w:after="0" w:line="240"/>
        <w:ind w:right="0" w:left="0" w:firstLine="708"/>
        <w:jc w:val="both"/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Выписку из ЕГРН о переходе прав на объект недвижимости запросили 12% заявителей, запрос копий правоустанавливающих документов 11% заявителей. Оставшиеся 5% заявителей запросили иные сведения из ЕГРН.</w:t>
      </w:r>
    </w:p>
    <w:p>
      <w:pPr>
        <w:spacing w:before="0" w:after="0" w:line="240"/>
        <w:ind w:right="0" w:left="0" w:firstLine="0"/>
        <w:jc w:val="both"/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При этом, 31% заявителей указали в качестве цели получения сведений из ЕГРН – для получения сведений о собственнике объекта недвижимости при решении вопроса о заключении сделки купли-продажи, аренды и пр. </w:t>
      </w:r>
    </w:p>
    <w:p>
      <w:pPr>
        <w:spacing w:before="0" w:after="0" w:line="240"/>
        <w:ind w:right="0" w:left="0" w:firstLine="709"/>
        <w:jc w:val="both"/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19% </w:t>
      </w: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заявителей указали в качестве цели получения сведений из ЕГРН –       для в страховую и кредитную организацию с целью получения кредита под залог недвижимого имущества, при этом действующим законодательством предусмотрена обязанность получение соответствующих сведений из ЕГРН в виде выписки в электронной форме страховым и кредитным организациям, в рамках оказания соответствующих услуг. </w:t>
      </w:r>
    </w:p>
    <w:p>
      <w:pPr>
        <w:spacing w:before="0" w:after="0" w:line="240"/>
        <w:ind w:right="0" w:left="0" w:firstLine="709"/>
        <w:jc w:val="both"/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15% </w:t>
      </w: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заявителей указали в качестве цели получения сведений из ЕГРН –      для предоставления в органы власти, местного самоуправления с целью участия      в социальных программах, вместе с тем, сведения из ЕГРН по запросам органов государственной власти и органов местного самоуправления предоставляются органом регистрации прав таковым бесплатно.</w:t>
      </w:r>
    </w:p>
    <w:p>
      <w:pPr>
        <w:spacing w:before="0" w:after="0" w:line="240"/>
        <w:ind w:right="0" w:left="0" w:firstLine="708"/>
        <w:jc w:val="both"/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Удобство электронных услуг оценили половина опрошенных, а именно 46% физических лиц и 44% юридических лиц. </w:t>
      </w:r>
    </w:p>
    <w:p>
      <w:pPr>
        <w:spacing w:before="0" w:after="0" w:line="240"/>
        <w:ind w:right="0" w:left="0" w:firstLine="708"/>
        <w:jc w:val="both"/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Запросить общедоступные сведения из ЕГРН в электронном виде можно на официальном сайте Росреестра </w:t>
      </w:r>
      <w:hyperlink xmlns:r="http://schemas.openxmlformats.org/officeDocument/2006/relationships" r:id="docRId2">
        <w:r>
          <w:rPr>
            <w:rFonts w:ascii="Segoe UI" w:hAnsi="Segoe UI" w:cs="Segoe UI" w:eastAsia="Segoe U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</w:t>
        </w:r>
        <w:r>
          <w:rPr>
            <w:rFonts w:ascii="Segoe UI" w:hAnsi="Segoe UI" w:cs="Segoe UI" w:eastAsia="Segoe UI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"http://www.rosreetr.ru/"</w:t>
        </w:r>
        <w:r>
          <w:rPr>
            <w:rFonts w:ascii="Segoe UI" w:hAnsi="Segoe UI" w:cs="Segoe UI" w:eastAsia="Segoe U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Segoe UI" w:hAnsi="Segoe UI" w:cs="Segoe UI" w:eastAsia="Segoe UI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"http://www.rosreetr.ru/"</w:t>
        </w:r>
        <w:r>
          <w:rPr>
            <w:rFonts w:ascii="Segoe UI" w:hAnsi="Segoe UI" w:cs="Segoe UI" w:eastAsia="Segoe U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rosreetr</w:t>
        </w:r>
        <w:r>
          <w:rPr>
            <w:rFonts w:ascii="Segoe UI" w:hAnsi="Segoe UI" w:cs="Segoe UI" w:eastAsia="Segoe UI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"http://www.rosreetr.ru/"</w:t>
        </w:r>
        <w:r>
          <w:rPr>
            <w:rFonts w:ascii="Segoe UI" w:hAnsi="Segoe UI" w:cs="Segoe UI" w:eastAsia="Segoe U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Segoe UI" w:hAnsi="Segoe UI" w:cs="Segoe UI" w:eastAsia="Segoe UI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"http://www.rosreetr.ru/"</w:t>
        </w:r>
        <w:r>
          <w:rPr>
            <w:rFonts w:ascii="Segoe UI" w:hAnsi="Segoe UI" w:cs="Segoe UI" w:eastAsia="Segoe U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ru</w:t>
        </w:r>
      </w:hyperlink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в разделе </w:t>
      </w: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Электронные услуги и сервисы</w:t>
      </w: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во вкладке </w:t>
      </w: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Получение сведений из ЕГРН</w:t>
      </w: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708"/>
        <w:jc w:val="both"/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Segoe UI" w:hAnsi="Segoe UI" w:cs="Segoe UI" w:eastAsia="Segoe U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Segoe UI" w:hAnsi="Segoe UI" w:cs="Segoe UI" w:eastAsia="Segoe UI"/>
          <w:b/>
          <w:color w:val="000000"/>
          <w:spacing w:val="0"/>
          <w:position w:val="0"/>
          <w:sz w:val="16"/>
          <w:shd w:fill="auto" w:val="clear"/>
        </w:rPr>
      </w:pPr>
      <w:r>
        <w:rPr>
          <w:rFonts w:ascii="Segoe UI" w:hAnsi="Segoe UI" w:cs="Segoe UI" w:eastAsia="Segoe UI"/>
          <w:b/>
          <w:color w:val="000000"/>
          <w:spacing w:val="0"/>
          <w:position w:val="0"/>
          <w:sz w:val="16"/>
          <w:shd w:fill="auto" w:val="clear"/>
        </w:rPr>
        <w:t xml:space="preserve">Контакты для СМИ</w:t>
      </w:r>
    </w:p>
    <w:p>
      <w:pPr>
        <w:spacing w:before="0" w:after="0" w:line="240"/>
        <w:ind w:right="0" w:left="0" w:firstLine="709"/>
        <w:jc w:val="both"/>
        <w:rPr>
          <w:rFonts w:ascii="Segoe UI" w:hAnsi="Segoe UI" w:cs="Segoe UI" w:eastAsia="Segoe UI"/>
          <w:color w:val="000000"/>
          <w:spacing w:val="0"/>
          <w:position w:val="0"/>
          <w:sz w:val="16"/>
          <w:shd w:fill="auto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6"/>
          <w:shd w:fill="auto" w:val="clear"/>
        </w:rPr>
        <w:t xml:space="preserve">Управление Росреестра по Свердловской области </w:t>
      </w:r>
    </w:p>
    <w:p>
      <w:pPr>
        <w:spacing w:before="0" w:after="0" w:line="240"/>
        <w:ind w:right="0" w:left="0" w:firstLine="709"/>
        <w:jc w:val="both"/>
        <w:rPr>
          <w:rFonts w:ascii="Segoe UI" w:hAnsi="Segoe UI" w:cs="Segoe UI" w:eastAsia="Segoe UI"/>
          <w:color w:val="000000"/>
          <w:spacing w:val="0"/>
          <w:position w:val="0"/>
          <w:sz w:val="16"/>
          <w:shd w:fill="auto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6"/>
          <w:shd w:fill="auto" w:val="clear"/>
        </w:rPr>
        <w:t xml:space="preserve">Зилалова Галина Петровна, </w:t>
      </w:r>
    </w:p>
    <w:p>
      <w:pPr>
        <w:spacing w:before="0" w:after="0" w:line="240"/>
        <w:ind w:right="0" w:left="0" w:firstLine="709"/>
        <w:jc w:val="both"/>
        <w:rPr>
          <w:rFonts w:ascii="Segoe UI" w:hAnsi="Segoe UI" w:cs="Segoe UI" w:eastAsia="Segoe UI"/>
          <w:color w:val="000000"/>
          <w:spacing w:val="0"/>
          <w:position w:val="0"/>
          <w:sz w:val="16"/>
          <w:shd w:fill="auto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6"/>
          <w:shd w:fill="auto" w:val="clear"/>
        </w:rPr>
        <w:t xml:space="preserve">специалист - эксперт</w:t>
      </w:r>
    </w:p>
    <w:p>
      <w:pPr>
        <w:spacing w:before="0" w:after="0" w:line="240"/>
        <w:ind w:right="0" w:left="0" w:firstLine="709"/>
        <w:jc w:val="both"/>
        <w:rPr>
          <w:rFonts w:ascii="Segoe UI" w:hAnsi="Segoe UI" w:cs="Segoe UI" w:eastAsia="Segoe UI"/>
          <w:color w:val="000000"/>
          <w:spacing w:val="0"/>
          <w:position w:val="0"/>
          <w:sz w:val="16"/>
          <w:shd w:fill="auto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6"/>
          <w:shd w:fill="auto" w:val="clear"/>
        </w:rPr>
        <w:t xml:space="preserve">тел. 8 (343) 375-40-81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6"/>
          <w:shd w:fill="auto" w:val="clear"/>
        </w:rPr>
        <w:t xml:space="preserve">               </w:t>
      </w:r>
      <w:r>
        <w:rPr>
          <w:rFonts w:ascii="Segoe UI" w:hAnsi="Segoe UI" w:cs="Segoe UI" w:eastAsia="Segoe UI"/>
          <w:color w:val="000000"/>
          <w:spacing w:val="0"/>
          <w:position w:val="0"/>
          <w:sz w:val="16"/>
          <w:shd w:fill="auto" w:val="clear"/>
        </w:rPr>
        <w:t xml:space="preserve">эл. почта: </w:t>
      </w:r>
      <w:r>
        <w:rPr>
          <w:rFonts w:ascii="Segoe UI" w:hAnsi="Segoe UI" w:cs="Segoe UI" w:eastAsia="Segoe UI"/>
          <w:color w:val="0070C0"/>
          <w:spacing w:val="0"/>
          <w:position w:val="0"/>
          <w:sz w:val="16"/>
          <w:u w:val="single"/>
          <w:shd w:fill="auto" w:val="clear"/>
        </w:rPr>
        <w:t xml:space="preserve">pressa</w:t>
      </w:r>
      <w:hyperlink xmlns:r="http://schemas.openxmlformats.org/officeDocument/2006/relationships" r:id="docRId3">
        <w:r>
          <w:rPr>
            <w:rFonts w:ascii="Segoe UI" w:hAnsi="Segoe UI" w:cs="Segoe UI" w:eastAsia="Segoe UI"/>
            <w:color w:val="0070C0"/>
            <w:spacing w:val="0"/>
            <w:position w:val="0"/>
            <w:sz w:val="16"/>
            <w:u w:val="single"/>
            <w:shd w:fill="auto" w:val="clear"/>
          </w:rPr>
          <w:t xml:space="preserve">@frs66.ru</w:t>
        </w:r>
      </w:hyperlink>
    </w:p>
    <w:p>
      <w:pPr>
        <w:spacing w:before="0" w:after="120" w:line="240"/>
        <w:ind w:right="0" w:left="0" w:firstLine="709"/>
        <w:jc w:val="both"/>
        <w:rPr>
          <w:rFonts w:ascii="Segoe UI" w:hAnsi="Segoe UI" w:cs="Segoe UI" w:eastAsia="Segoe UI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mailto:r@frs66.ru" Id="docRId3" Type="http://schemas.openxmlformats.org/officeDocument/2006/relationships/hyperlink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Mode="External" Target="http://www.rosreetr.ru/" Id="docRId2" Type="http://schemas.openxmlformats.org/officeDocument/2006/relationships/hyperlink"/><Relationship Target="numbering.xml" Id="docRId4" Type="http://schemas.openxmlformats.org/officeDocument/2006/relationships/numbering"/></Relationships>
</file>