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3D44A2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года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 xml:space="preserve">Общие доходы бюджета Гаринского городского округа за </w:t>
      </w:r>
      <w:proofErr w:type="gramStart"/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январь</w:t>
      </w:r>
      <w:r w:rsidR="002E1C88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1A1809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5934D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1</w:t>
      </w:r>
      <w:proofErr w:type="gramEnd"/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6</w:t>
      </w:r>
      <w:r w:rsidR="005934D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 631 573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</w:t>
      </w:r>
      <w:r w:rsidR="005934D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я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3D1C24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5934D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94 623 500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5934D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2,3</w:t>
      </w:r>
      <w:r w:rsidR="00AA1A7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58</w:t>
      </w:r>
      <w:proofErr w:type="gramEnd"/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,5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2561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441CC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3 879 730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Безвозмездные поступления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41,5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</w:t>
      </w:r>
      <w:proofErr w:type="gramStart"/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числе :</w:t>
      </w:r>
      <w:proofErr w:type="gramEnd"/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  <w:proofErr w:type="gramEnd"/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</w:t>
      </w:r>
      <w:proofErr w:type="gramStart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– 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proofErr w:type="gramEnd"/>
      <w:r w:rsidR="00867AB8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proofErr w:type="gramStart"/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</w:t>
      </w:r>
      <w:proofErr w:type="gram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E530D0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5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 402 016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295B5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189 277</w:t>
      </w:r>
      <w:r w:rsidR="00CF680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3D1C24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="005934D5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 839 450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93A2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Не </w:t>
      </w:r>
      <w:proofErr w:type="gramStart"/>
      <w:r w:rsidR="00E530D0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полнение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</w:t>
      </w:r>
      <w:proofErr w:type="gramEnd"/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налоговых и неналоговых доходов за январь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6,6 %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CF680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="006948B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851</w:t>
      </w:r>
      <w:r w:rsidR="006948B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,0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A7F7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6948B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3,2</w:t>
      </w:r>
      <w:r w:rsidR="000D4A12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ниже 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293A2E" w:rsidRDefault="00293A2E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D4A12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</w:t>
      </w:r>
    </w:p>
    <w:p w:rsidR="007A040D" w:rsidRPr="00293A2E" w:rsidRDefault="007A040D" w:rsidP="007A04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293A2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Информация</w:t>
      </w:r>
    </w:p>
    <w:p w:rsidR="007A040D" w:rsidRPr="00293A2E" w:rsidRDefault="007A040D" w:rsidP="007A04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293A2E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об исполнении доходной части бюджета </w:t>
      </w:r>
    </w:p>
    <w:p w:rsidR="007A040D" w:rsidRPr="00293A2E" w:rsidRDefault="007A040D" w:rsidP="007A040D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0"/>
          <w:szCs w:val="20"/>
        </w:rPr>
      </w:pPr>
      <w:r w:rsidRPr="00293A2E">
        <w:rPr>
          <w:rFonts w:ascii="Liberation Serif" w:eastAsia="Arial Unicode MS" w:hAnsi="Liberation Serif" w:cs="Times New Roman"/>
          <w:b/>
          <w:sz w:val="20"/>
          <w:szCs w:val="20"/>
        </w:rPr>
        <w:t xml:space="preserve"> Гаринского городского округа на 01.02.2021 года</w:t>
      </w:r>
    </w:p>
    <w:p w:rsidR="00293A2E" w:rsidRPr="00BB685C" w:rsidRDefault="00293A2E" w:rsidP="007A040D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134"/>
        <w:gridCol w:w="850"/>
        <w:gridCol w:w="851"/>
      </w:tblGrid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ind w:left="-108" w:right="-108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 xml:space="preserve">Код классификации 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Объем средств по решению о бюджете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 xml:space="preserve"> на 2021г. 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сумма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ind w:right="-108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 xml:space="preserve">Снижение / рост к 2020 г. </w:t>
            </w:r>
          </w:p>
          <w:p w:rsidR="007A040D" w:rsidRPr="00BB685C" w:rsidRDefault="007A040D" w:rsidP="007A040D">
            <w:pPr>
              <w:spacing w:after="0" w:line="240" w:lineRule="auto"/>
              <w:ind w:right="-108"/>
              <w:rPr>
                <w:rFonts w:ascii="Liberation Serif" w:eastAsia="Arial Unicode MS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Arial Unicode MS" w:hAnsi="Liberation Serif" w:cs="Times New Roman"/>
                <w:sz w:val="16"/>
                <w:szCs w:val="16"/>
              </w:rPr>
              <w:t>в %</w:t>
            </w:r>
          </w:p>
        </w:tc>
      </w:tr>
      <w:tr w:rsidR="007A040D" w:rsidRPr="00BB685C" w:rsidTr="007A040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86 277 500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3 879 730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-10,8</w:t>
            </w:r>
          </w:p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82 590 800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3 717 102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-8,8</w:t>
            </w:r>
          </w:p>
        </w:tc>
      </w:tr>
      <w:tr w:rsidR="007A040D" w:rsidRPr="00BB685C" w:rsidTr="007A040D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  <w:p w:rsidR="007A040D" w:rsidRPr="00BB685C" w:rsidRDefault="007A040D" w:rsidP="007A04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77 901 000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3 329 761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-6,5</w:t>
            </w:r>
          </w:p>
        </w:tc>
      </w:tr>
      <w:tr w:rsidR="007A040D" w:rsidRPr="00BB685C" w:rsidTr="007A040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</w:rPr>
              <w:t>1 270 000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</w:rPr>
              <w:t>97 286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</w:rPr>
              <w:t>+91,2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2 364 800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262 000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-32,9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830 000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20 849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-65,1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14 896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-72,6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7 206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-55,1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3 686 700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162 628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sz w:val="16"/>
                <w:szCs w:val="16"/>
                <w:lang w:eastAsia="ru-RU"/>
              </w:rPr>
              <w:t>-40,4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2 328 400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62 788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-75,2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1 249 400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88 332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keepNext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10 174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208 346 000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2 751 843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-55,2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000 2 02 00000 00 0000 000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208 346 000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5 591 293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-22,9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Дотации</w:t>
            </w: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152 398 000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000 </w:t>
            </w: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68 808 000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000 2 02 15002 00 0000 150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hAnsi="Liberation Serif" w:cs="Times New Roman"/>
                <w:bCs/>
                <w:sz w:val="16"/>
                <w:szCs w:val="16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83 590 000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Субсидии</w:t>
            </w: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2 628 700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Прочие субсидии</w:t>
            </w:r>
          </w:p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2 628 700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  <w:t>000 2 02 30000 00 0000 150</w:t>
            </w:r>
          </w:p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0D" w:rsidRPr="00BB685C" w:rsidRDefault="007A040D" w:rsidP="007A04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Субвенции </w:t>
            </w: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51 794 700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5 402 016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+ 196,9</w:t>
            </w:r>
          </w:p>
        </w:tc>
      </w:tr>
      <w:tr w:rsidR="007A040D" w:rsidRPr="00BB685C" w:rsidTr="007A0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24 700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Cs/>
                <w:color w:val="000000" w:themeColor="text1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10 378 100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2 212 030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-5,1</w:t>
            </w:r>
          </w:p>
        </w:tc>
      </w:tr>
      <w:tr w:rsidR="007A040D" w:rsidRPr="00BB685C" w:rsidTr="007A040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305 600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19 986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+,37</w:t>
            </w:r>
          </w:p>
        </w:tc>
      </w:tr>
      <w:tr w:rsidR="007A040D" w:rsidRPr="00BB685C" w:rsidTr="007A040D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968 500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59 600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40 052 000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3 170 000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color w:val="000000" w:themeColor="text1"/>
                <w:sz w:val="16"/>
                <w:szCs w:val="16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b/>
                <w:color w:val="000000" w:themeColor="text1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1 524 600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189 277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sz w:val="16"/>
                <w:szCs w:val="16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BB685C">
              <w:rPr>
                <w:rFonts w:ascii="Liberation Serif" w:hAnsi="Liberation Serif" w:cs="Times New Roman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1 524 600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189 277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</w:tr>
      <w:tr w:rsidR="007A040D" w:rsidRPr="00BB685C" w:rsidTr="007A040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eastAsia="Calibri" w:hAnsi="Liberation Serif" w:cs="Times New Roman"/>
                <w:color w:val="000000" w:themeColor="text1"/>
                <w:sz w:val="16"/>
                <w:szCs w:val="16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A040D" w:rsidRPr="00BB685C" w:rsidRDefault="007A040D" w:rsidP="007A0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 w:themeColor="text1"/>
                <w:sz w:val="16"/>
                <w:szCs w:val="16"/>
              </w:rPr>
            </w:pPr>
            <w:r w:rsidRPr="00BB685C">
              <w:rPr>
                <w:rFonts w:ascii="Liberation Serif" w:eastAsia="Calibri" w:hAnsi="Liberation Serif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- 2 839 450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- 157,2</w:t>
            </w:r>
          </w:p>
        </w:tc>
      </w:tr>
      <w:tr w:rsidR="007A040D" w:rsidRPr="00BB685C" w:rsidTr="007A040D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294 623 500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6 631 573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0D" w:rsidRPr="00BB685C" w:rsidRDefault="007A040D" w:rsidP="007A040D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Times New Roman"/>
                <w:b/>
                <w:color w:val="000000" w:themeColor="text1"/>
                <w:sz w:val="16"/>
                <w:szCs w:val="16"/>
                <w:lang w:eastAsia="ru-RU"/>
              </w:rPr>
              <w:t>-36,8</w:t>
            </w:r>
          </w:p>
        </w:tc>
      </w:tr>
    </w:tbl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НАЛОГИ НА ДОХОДЫ ФИЗИЧЕСКИХ ЛИЦ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(4,3%) – неисполнение плановых показателей по данному налогу связано с неуплатой текущих платежей. 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(7,7%) –   плановые показатели по данному доходу выполнены. 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НАЛОГИ НА СОВОКУПНЫЙ ДОХОД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(11,1%) – перевыполнение плановых показателей обусловлено тем, что поступили платежи по УСН и ЕНВД за 2020 год.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</w:t>
      </w: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НАЛОГИ НА ИМУЩЕСТВО 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(2,5%) – неисполнение плановых показателей связано с тем, что срок уплаты налога на имущество до 01 декабря 2021 года. 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</w:t>
      </w: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>ЗЕМЕЛЬНЫЙ НАЛО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Г (2,3%) – неисполнение плановых показателей связано с тем, что срок уплаты земельного налога до 01 декабря 2021 года. 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ГОСУДАРСТВЕННАЯ ПОШЛИНА 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>(3,2 %)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ДОХОДЫ ОТ ИСПОЛЬЗОВАНИЯ ИМУЩЕСТВА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(2,7%)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поступила в бюджет;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 ПЛАТЕЖИ ПРИ ПОЛЬЗОВАНИИ ПРИРОДНЫМИ РЕСУРСАМИ 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>(0%) –</w:t>
      </w: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>неисполнение плановых показателей связано с тем, что срок уплаты сбора за негативное воздействие на окружающую среду до 01 марта 2021 года.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 ДОХОДЫ ОТ ОКАЗАНИЯ ПЛАТНЫХ УСЛУГ (РАБОТ)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(7,1%) – плановые показатели по данному доходу выполнены. </w:t>
      </w:r>
    </w:p>
    <w:p w:rsidR="007A040D" w:rsidRPr="00BB685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ДОХОДЫ ОТ ПРОДАЖИ МАТЕРИАЛЬНЫХ И НЕМАТЕРИАЛЬНЫХ АКТИВОВ</w:t>
      </w: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(3,3%) – неисполнение плановых показателей связано с отсутствием обращения граждан о предоставлении в собственность за плату земельных участков.</w:t>
      </w:r>
      <w:r w:rsidRPr="00BB685C"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  <w:t xml:space="preserve">     </w:t>
      </w:r>
    </w:p>
    <w:p w:rsidR="002E1C88" w:rsidRPr="00BB685C" w:rsidRDefault="002E1C88" w:rsidP="001A18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16"/>
          <w:szCs w:val="16"/>
          <w:lang w:eastAsia="ru-RU"/>
        </w:rPr>
      </w:pPr>
    </w:p>
    <w:p w:rsidR="00821404" w:rsidRPr="00BB685C" w:rsidRDefault="008343F7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B1487A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671E9" w:rsidRPr="00C41EDD">
        <w:rPr>
          <w:rFonts w:ascii="Liberation Serif" w:hAnsi="Liberation Serif" w:cs="Times New Roman"/>
          <w:b/>
          <w:sz w:val="20"/>
          <w:szCs w:val="20"/>
        </w:rPr>
        <w:t>Р</w:t>
      </w:r>
      <w:r w:rsidR="00B1487A" w:rsidRPr="00C41EDD">
        <w:rPr>
          <w:rFonts w:ascii="Liberation Serif" w:hAnsi="Liberation Serif" w:cs="Times New Roman"/>
          <w:b/>
          <w:sz w:val="20"/>
          <w:szCs w:val="20"/>
        </w:rPr>
        <w:t>АСХОДЫ</w:t>
      </w:r>
    </w:p>
    <w:p w:rsidR="00C41EDD" w:rsidRPr="00C41EDD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Cs w:val="0"/>
        </w:rPr>
      </w:pPr>
    </w:p>
    <w:tbl>
      <w:tblPr>
        <w:tblW w:w="10858" w:type="dxa"/>
        <w:tblLook w:val="04A0" w:firstRow="1" w:lastRow="0" w:firstColumn="1" w:lastColumn="0" w:noHBand="0" w:noVBand="1"/>
      </w:tblPr>
      <w:tblGrid>
        <w:gridCol w:w="9458"/>
        <w:gridCol w:w="1400"/>
      </w:tblGrid>
      <w:tr w:rsidR="00C41EDD" w:rsidRPr="00C41EDD" w:rsidTr="001652F2">
        <w:trPr>
          <w:trHeight w:val="319"/>
        </w:trPr>
        <w:tc>
          <w:tcPr>
            <w:tcW w:w="10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293A2E" w:rsidRDefault="00C41EDD" w:rsidP="00C41EDD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EDD">
              <w:rPr>
                <w:rFonts w:ascii="Liberation Serif" w:hAnsi="Liberation Serif"/>
                <w:i/>
                <w:sz w:val="20"/>
                <w:szCs w:val="20"/>
              </w:rPr>
              <w:tab/>
            </w:r>
            <w:r w:rsidRPr="00293A2E">
              <w:rPr>
                <w:rFonts w:ascii="Liberation Serif" w:hAnsi="Liberation Serif"/>
                <w:sz w:val="20"/>
                <w:szCs w:val="20"/>
              </w:rPr>
              <w:t>Бюджет Гаринского городского округа по расходам по состоянию на 01.02.2021 года исполнен в размере 10 893,83 тыс. рублей,</w:t>
            </w:r>
            <w:r w:rsidRPr="00293A2E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293A2E">
              <w:rPr>
                <w:rFonts w:ascii="Liberation Serif" w:hAnsi="Liberation Serif"/>
                <w:sz w:val="20"/>
                <w:szCs w:val="20"/>
              </w:rPr>
              <w:t xml:space="preserve">или к годовому </w:t>
            </w:r>
            <w:bookmarkStart w:id="0" w:name="_GoBack"/>
            <w:bookmarkEnd w:id="0"/>
            <w:r w:rsidRPr="00293A2E">
              <w:rPr>
                <w:rFonts w:ascii="Liberation Serif" w:hAnsi="Liberation Serif"/>
                <w:sz w:val="20"/>
                <w:szCs w:val="20"/>
              </w:rPr>
              <w:t xml:space="preserve">назначению (288 миллиона 144 тысяч 800 рублей) выполнение составило 3,64 </w:t>
            </w:r>
            <w:proofErr w:type="gramStart"/>
            <w:r w:rsidRPr="00293A2E">
              <w:rPr>
                <w:rFonts w:ascii="Liberation Serif" w:hAnsi="Liberation Serif"/>
                <w:sz w:val="20"/>
                <w:szCs w:val="20"/>
              </w:rPr>
              <w:t>% ,</w:t>
            </w:r>
            <w:proofErr w:type="gramEnd"/>
            <w:r w:rsidRPr="00293A2E">
              <w:rPr>
                <w:rFonts w:ascii="Liberation Serif" w:hAnsi="Liberation Serif"/>
                <w:sz w:val="20"/>
                <w:szCs w:val="20"/>
              </w:rPr>
              <w:t xml:space="preserve"> что ниже установленного норматива  (8,0 % ) на 4,36 %  в сумме 13037,7 тыс. рублей </w:t>
            </w:r>
          </w:p>
          <w:p w:rsidR="00C41EDD" w:rsidRPr="00C41EDD" w:rsidRDefault="00C41EDD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3F0F" w:rsidRPr="00BB685C" w:rsidTr="00956AF1">
        <w:trPr>
          <w:trHeight w:val="31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0F" w:rsidRPr="00C41EDD" w:rsidRDefault="00956AF1" w:rsidP="00BB685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Исполнение бюджета в разрезе </w:t>
            </w:r>
            <w:proofErr w:type="gramStart"/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разделов  (</w:t>
            </w:r>
            <w:proofErr w:type="gramEnd"/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подразделов) </w:t>
            </w:r>
            <w:r w:rsidR="00BB685C"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период с 01.01.2021-31.01.2021гг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3F0F" w:rsidRPr="00BB685C" w:rsidTr="007A040D">
        <w:trPr>
          <w:trHeight w:val="255"/>
        </w:trPr>
        <w:tc>
          <w:tcPr>
            <w:tcW w:w="10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99" w:type="dxa"/>
              <w:tblInd w:w="176" w:type="dxa"/>
              <w:tblLook w:val="04A0" w:firstRow="1" w:lastRow="0" w:firstColumn="1" w:lastColumn="0" w:noHBand="0" w:noVBand="1"/>
            </w:tblPr>
            <w:tblGrid>
              <w:gridCol w:w="1176"/>
              <w:gridCol w:w="3668"/>
              <w:gridCol w:w="800"/>
              <w:gridCol w:w="1585"/>
              <w:gridCol w:w="1418"/>
              <w:gridCol w:w="1352"/>
            </w:tblGrid>
            <w:tr w:rsidR="00956AF1" w:rsidRPr="00BB685C" w:rsidTr="00C41EDD">
              <w:trPr>
                <w:gridAfter w:val="5"/>
                <w:wAfter w:w="8823" w:type="dxa"/>
                <w:trHeight w:val="66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56AF1" w:rsidRPr="00BB685C" w:rsidTr="00C41EDD">
              <w:trPr>
                <w:gridAfter w:val="5"/>
                <w:wAfter w:w="8823" w:type="dxa"/>
                <w:trHeight w:val="66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r w:rsidRPr="00BB685C">
                    <w:rPr>
                      <w:rFonts w:ascii="Liberation Serif" w:eastAsia="Times New Roman" w:hAnsi="Liberation Serif" w:cs="Arial CYR"/>
                      <w:bCs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BB685C">
                    <w:rPr>
                      <w:rFonts w:ascii="Liberation Serif" w:eastAsia="Times New Roman" w:hAnsi="Liberation Serif" w:cs="Arial CYR"/>
                      <w:bCs/>
                      <w:color w:val="000000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BB685C">
                    <w:rPr>
                      <w:rFonts w:ascii="Liberation Serif" w:eastAsia="Times New Roman" w:hAnsi="Liberation Serif" w:cs="Arial CYR"/>
                      <w:bCs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956AF1" w:rsidRPr="00BB685C" w:rsidTr="00C41EDD">
              <w:trPr>
                <w:trHeight w:val="230"/>
              </w:trPr>
              <w:tc>
                <w:tcPr>
                  <w:tcW w:w="484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Разд.</w:t>
                  </w:r>
                </w:p>
              </w:tc>
              <w:tc>
                <w:tcPr>
                  <w:tcW w:w="1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956AF1" w:rsidRPr="00BB685C" w:rsidTr="00C41EDD">
              <w:trPr>
                <w:trHeight w:val="408"/>
              </w:trPr>
              <w:tc>
                <w:tcPr>
                  <w:tcW w:w="484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56AF1" w:rsidRPr="00BB685C" w:rsidTr="00C41EDD">
              <w:trPr>
                <w:trHeight w:val="765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1 550 281,00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159 037,36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10,26%</w:t>
                  </w:r>
                </w:p>
              </w:tc>
            </w:tr>
            <w:tr w:rsidR="00956AF1" w:rsidRPr="00BB685C" w:rsidTr="00C41EDD">
              <w:trPr>
                <w:trHeight w:val="551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2 899 788,00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193 294,63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6,67%</w:t>
                  </w:r>
                </w:p>
              </w:tc>
            </w:tr>
            <w:tr w:rsidR="00956AF1" w:rsidRPr="00BB685C" w:rsidTr="00C41EDD">
              <w:trPr>
                <w:trHeight w:val="665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Федерации,  высших</w:t>
                  </w:r>
                  <w:proofErr w:type="gramEnd"/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20 832 972,00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1 420 108,02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6,82%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765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8 558 516,00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999 039,76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11,67%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8 527 370,00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440 340,79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5,16%</w:t>
                  </w:r>
                </w:p>
              </w:tc>
            </w:tr>
            <w:tr w:rsidR="00956AF1" w:rsidRPr="00BB685C" w:rsidTr="00C41EDD">
              <w:trPr>
                <w:trHeight w:val="239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305 600,00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19 986,22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6,54%</w:t>
                  </w:r>
                </w:p>
              </w:tc>
            </w:tr>
            <w:tr w:rsidR="00956AF1" w:rsidRPr="00BB685C" w:rsidTr="00C41EDD">
              <w:trPr>
                <w:trHeight w:val="417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</w:t>
                  </w:r>
                  <w:proofErr w:type="gramStart"/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Защита  населения</w:t>
                  </w:r>
                  <w:proofErr w:type="gramEnd"/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0309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7 195 675,00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646 278,22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8,98%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475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6 250 000,00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2 544 000,00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187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701 700,00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4 883 800,00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189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60 027 000,00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51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0603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23 278 400,00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2 718 000,00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11,68%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60 190 529,00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880 378,50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1,46%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18 653 345,00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196 050,06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1,05%</w:t>
                  </w:r>
                </w:p>
              </w:tc>
            </w:tr>
            <w:tr w:rsidR="00956AF1" w:rsidRPr="00BB685C" w:rsidTr="00C41EDD">
              <w:trPr>
                <w:trHeight w:val="241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2 774 200,00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11 392 894,00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705 925,69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6,20%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27 964 575,00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2 049 490,25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7,33%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5 012 963,00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417 746,85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8,33%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10 178 552,00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247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1 116 940,00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48 154,66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4,31%</w:t>
                  </w:r>
                </w:p>
              </w:tc>
            </w:tr>
            <w:tr w:rsidR="00956AF1" w:rsidRPr="00BB685C" w:rsidTr="00C41EDD">
              <w:trPr>
                <w:trHeight w:val="300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255"/>
              </w:trPr>
              <w:tc>
                <w:tcPr>
                  <w:tcW w:w="484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1204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56AF1" w:rsidRPr="00BB685C" w:rsidTr="00C41EDD">
              <w:trPr>
                <w:trHeight w:val="255"/>
              </w:trPr>
              <w:tc>
                <w:tcPr>
                  <w:tcW w:w="56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299 144 800,00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10 893 831,01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56AF1" w:rsidRPr="00BB685C" w:rsidRDefault="00956AF1" w:rsidP="00956AF1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B685C">
                    <w:rPr>
                      <w:rFonts w:ascii="Liberation Serif" w:eastAsia="Times New Roman" w:hAnsi="Liberation Serif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3,64%</w:t>
                  </w:r>
                </w:p>
              </w:tc>
            </w:tr>
          </w:tbl>
          <w:p w:rsidR="007A040D" w:rsidRPr="00BB685C" w:rsidRDefault="007A040D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  <w:p w:rsidR="007A040D" w:rsidRPr="00BB685C" w:rsidRDefault="007A040D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63F0F" w:rsidRPr="00BB685C" w:rsidRDefault="00E63F0F" w:rsidP="00B1487A">
      <w:pPr>
        <w:pStyle w:val="2"/>
        <w:rPr>
          <w:rFonts w:ascii="Liberation Serif" w:hAnsi="Liberation Serif"/>
          <w:sz w:val="16"/>
          <w:szCs w:val="16"/>
        </w:rPr>
      </w:pPr>
    </w:p>
    <w:tbl>
      <w:tblPr>
        <w:tblW w:w="119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9781"/>
        <w:gridCol w:w="992"/>
        <w:gridCol w:w="903"/>
      </w:tblGrid>
      <w:tr w:rsidR="00E63F0F" w:rsidRPr="00BB685C" w:rsidTr="00956A9B">
        <w:trPr>
          <w:gridBefore w:val="1"/>
          <w:gridAfter w:val="1"/>
          <w:wBefore w:w="284" w:type="dxa"/>
          <w:wAfter w:w="903" w:type="dxa"/>
          <w:trHeight w:val="31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Исполнение бюджета</w:t>
            </w:r>
            <w:r w:rsidR="006758B3"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разрезе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3F0F" w:rsidRPr="00BB685C" w:rsidTr="00956A9B">
        <w:trPr>
          <w:gridBefore w:val="1"/>
          <w:gridAfter w:val="1"/>
          <w:wBefore w:w="284" w:type="dxa"/>
          <w:wAfter w:w="903" w:type="dxa"/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BB685C" w:rsidRDefault="00E63F0F" w:rsidP="0034688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за период с 01.01.202</w:t>
            </w:r>
            <w:r w:rsidR="00346880"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г. по 31.</w:t>
            </w:r>
            <w:r w:rsidR="00346880"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46880"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.2021</w:t>
            </w: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3F0F" w:rsidRPr="00BB685C" w:rsidTr="00956A9B">
        <w:trPr>
          <w:gridBefore w:val="1"/>
          <w:gridAfter w:val="1"/>
          <w:wBefore w:w="284" w:type="dxa"/>
          <w:wAfter w:w="903" w:type="dxa"/>
          <w:trHeight w:val="25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BB685C" w:rsidRDefault="00E63F0F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  <w:p w:rsidR="00956AF1" w:rsidRPr="00BB685C" w:rsidRDefault="00956AF1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1042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701"/>
              <w:gridCol w:w="1691"/>
              <w:gridCol w:w="1569"/>
              <w:gridCol w:w="1208"/>
            </w:tblGrid>
            <w:tr w:rsidR="00346880" w:rsidRPr="00BB685C" w:rsidTr="00C41EDD">
              <w:trPr>
                <w:trHeight w:val="765"/>
              </w:trPr>
              <w:tc>
                <w:tcPr>
                  <w:tcW w:w="4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Уточненная роспись/план</w:t>
                  </w:r>
                </w:p>
              </w:tc>
              <w:tc>
                <w:tcPr>
                  <w:tcW w:w="16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2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346880" w:rsidRPr="00BB685C" w:rsidTr="00C41EDD">
              <w:trPr>
                <w:trHeight w:val="408"/>
              </w:trPr>
              <w:tc>
                <w:tcPr>
                  <w:tcW w:w="42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46880" w:rsidRPr="00BB685C" w:rsidTr="00C41EDD">
              <w:trPr>
                <w:trHeight w:val="410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45 726 986,00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45 726 986,00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1 915 361,84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4,19%</w:t>
                  </w:r>
                </w:p>
              </w:tc>
            </w:tr>
            <w:tr w:rsidR="00346880" w:rsidRPr="00BB685C" w:rsidTr="00C41EDD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37 226 986,00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1 915 361,84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5,15%</w:t>
                  </w:r>
                </w:p>
              </w:tc>
            </w:tr>
            <w:tr w:rsidR="00346880" w:rsidRPr="00BB685C" w:rsidTr="00C41EDD">
              <w:trPr>
                <w:trHeight w:val="300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8 500 000,00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346880" w:rsidRPr="00BB685C" w:rsidTr="00C41EDD">
              <w:trPr>
                <w:trHeight w:val="313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3 363 457,04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3 363 457,04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231 933,74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6,90%</w:t>
                  </w:r>
                </w:p>
              </w:tc>
            </w:tr>
            <w:tr w:rsidR="00346880" w:rsidRPr="00BB685C" w:rsidTr="00C41EDD">
              <w:trPr>
                <w:trHeight w:val="510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1 789 050,00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1 789 050,00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112 610,71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6,29%</w:t>
                  </w:r>
                </w:p>
              </w:tc>
            </w:tr>
            <w:tr w:rsidR="00346880" w:rsidRPr="00BB685C" w:rsidTr="00C41EDD">
              <w:trPr>
                <w:trHeight w:val="584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Андрюшинская</w:t>
                  </w:r>
                  <w:proofErr w:type="spellEnd"/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12 191 917,00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12 191 917,00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115 271,10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0,95%</w:t>
                  </w:r>
                </w:p>
              </w:tc>
            </w:tr>
            <w:tr w:rsidR="00346880" w:rsidRPr="00BB685C" w:rsidTr="00C41EDD">
              <w:trPr>
                <w:trHeight w:val="510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87 970 270,00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87 970 270,00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483 501,96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0,55%</w:t>
                  </w:r>
                </w:p>
              </w:tc>
            </w:tr>
            <w:tr w:rsidR="00346880" w:rsidRPr="00BB685C" w:rsidTr="00C41EDD">
              <w:trPr>
                <w:trHeight w:val="765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Гаринская</w:t>
                  </w:r>
                  <w:proofErr w:type="spellEnd"/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50 365 312,00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50 365 312,00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765 107,40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1,52%</w:t>
                  </w:r>
                </w:p>
              </w:tc>
            </w:tr>
            <w:tr w:rsidR="00346880" w:rsidRPr="00BB685C" w:rsidTr="00C41EDD">
              <w:trPr>
                <w:trHeight w:val="765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</w:t>
                  </w:r>
                  <w:proofErr w:type="gramStart"/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учреждение  "</w:t>
                  </w:r>
                  <w:proofErr w:type="gramEnd"/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Единая дежурно-диспетчерская служба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7 195 675,00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7 195 675,00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646 278,22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8,98%</w:t>
                  </w:r>
                </w:p>
              </w:tc>
            </w:tr>
            <w:tr w:rsidR="00346880" w:rsidRPr="00BB685C" w:rsidTr="00C41EDD">
              <w:trPr>
                <w:trHeight w:val="765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35 062 026,00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35 062 026,00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3 455 569,94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9,86%</w:t>
                  </w:r>
                </w:p>
              </w:tc>
            </w:tr>
            <w:tr w:rsidR="00346880" w:rsidRPr="00BB685C" w:rsidTr="00C41EDD">
              <w:trPr>
                <w:trHeight w:val="436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19 053 345,00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19 053 345,00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196 050,06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1,03%</w:t>
                  </w:r>
                </w:p>
              </w:tc>
            </w:tr>
            <w:tr w:rsidR="00346880" w:rsidRPr="00BB685C" w:rsidTr="00C41EDD">
              <w:trPr>
                <w:trHeight w:val="556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28 222 575,00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28 222 575,00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2 049 490,25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7,26%</w:t>
                  </w:r>
                </w:p>
              </w:tc>
            </w:tr>
            <w:tr w:rsidR="00346880" w:rsidRPr="00BB685C" w:rsidTr="00C41EDD">
              <w:trPr>
                <w:trHeight w:val="510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8 204 186,96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8 204 186,96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922 655,79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11,25%</w:t>
                  </w:r>
                </w:p>
              </w:tc>
            </w:tr>
            <w:tr w:rsidR="00346880" w:rsidRPr="00BB685C" w:rsidTr="00C41EDD">
              <w:trPr>
                <w:trHeight w:val="255"/>
              </w:trPr>
              <w:tc>
                <w:tcPr>
                  <w:tcW w:w="4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299 144 800,00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299 144 800,00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10 893 831,01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46880" w:rsidRPr="00346880" w:rsidRDefault="00346880" w:rsidP="0034688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46880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3,64%</w:t>
                  </w:r>
                </w:p>
              </w:tc>
            </w:tr>
          </w:tbl>
          <w:p w:rsidR="00956AF1" w:rsidRPr="00BB685C" w:rsidRDefault="00956AF1" w:rsidP="00E63F0F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034" w:rsidRPr="00BB685C" w:rsidTr="00956A9B">
        <w:trPr>
          <w:trHeight w:val="255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</w:tbl>
    <w:p w:rsidR="00A66965" w:rsidRDefault="00A66965">
      <w:pPr>
        <w:rPr>
          <w:rFonts w:ascii="Liberation Serif" w:hAnsi="Liberation Serif"/>
          <w:sz w:val="16"/>
          <w:szCs w:val="16"/>
        </w:rPr>
      </w:pPr>
      <w:r w:rsidRPr="00BB685C">
        <w:rPr>
          <w:rFonts w:ascii="Liberation Serif" w:hAnsi="Liberation Serif"/>
          <w:sz w:val="16"/>
          <w:szCs w:val="16"/>
        </w:rPr>
        <w:t xml:space="preserve">        Задолженность по выплате заработной платы работникам учреждений бюдж</w:t>
      </w:r>
      <w:r w:rsidR="00AF28A0" w:rsidRPr="00BB685C">
        <w:rPr>
          <w:rFonts w:ascii="Liberation Serif" w:hAnsi="Liberation Serif"/>
          <w:sz w:val="16"/>
          <w:szCs w:val="16"/>
        </w:rPr>
        <w:t>етной сферы по состоянию на 01.</w:t>
      </w:r>
      <w:r w:rsidR="00956A9B" w:rsidRPr="00BB685C">
        <w:rPr>
          <w:rFonts w:ascii="Liberation Serif" w:hAnsi="Liberation Serif"/>
          <w:sz w:val="16"/>
          <w:szCs w:val="16"/>
        </w:rPr>
        <w:t>0</w:t>
      </w:r>
      <w:r w:rsidR="00346880" w:rsidRPr="00BB685C">
        <w:rPr>
          <w:rFonts w:ascii="Liberation Serif" w:hAnsi="Liberation Serif"/>
          <w:sz w:val="16"/>
          <w:szCs w:val="16"/>
        </w:rPr>
        <w:t>2</w:t>
      </w:r>
      <w:r w:rsidRPr="00BB685C">
        <w:rPr>
          <w:rFonts w:ascii="Liberation Serif" w:hAnsi="Liberation Serif"/>
          <w:sz w:val="16"/>
          <w:szCs w:val="16"/>
        </w:rPr>
        <w:t>.202</w:t>
      </w:r>
      <w:r w:rsidR="00956A9B" w:rsidRPr="00BB685C">
        <w:rPr>
          <w:rFonts w:ascii="Liberation Serif" w:hAnsi="Liberation Serif"/>
          <w:sz w:val="16"/>
          <w:szCs w:val="16"/>
        </w:rPr>
        <w:t>1</w:t>
      </w:r>
      <w:r w:rsidRPr="00BB685C">
        <w:rPr>
          <w:rFonts w:ascii="Liberation Serif" w:hAnsi="Liberation Serif"/>
          <w:sz w:val="16"/>
          <w:szCs w:val="16"/>
        </w:rPr>
        <w:t xml:space="preserve"> года отсутс</w:t>
      </w:r>
      <w:r w:rsidR="00CA40F9" w:rsidRPr="00BB685C">
        <w:rPr>
          <w:rFonts w:ascii="Liberation Serif" w:hAnsi="Liberation Serif"/>
          <w:sz w:val="16"/>
          <w:szCs w:val="16"/>
        </w:rPr>
        <w:t>т</w:t>
      </w:r>
      <w:r w:rsidRPr="00BB685C">
        <w:rPr>
          <w:rFonts w:ascii="Liberation Serif" w:hAnsi="Liberation Serif"/>
          <w:sz w:val="16"/>
          <w:szCs w:val="16"/>
        </w:rPr>
        <w:t>вует.</w:t>
      </w:r>
    </w:p>
    <w:p w:rsidR="00C41EDD" w:rsidRDefault="00C41EDD">
      <w:pPr>
        <w:rPr>
          <w:rFonts w:ascii="Liberation Serif" w:hAnsi="Liberation Serif"/>
          <w:sz w:val="16"/>
          <w:szCs w:val="16"/>
        </w:rPr>
      </w:pPr>
    </w:p>
    <w:p w:rsidR="00C41EDD" w:rsidRPr="00C41EDD" w:rsidRDefault="00C41EDD" w:rsidP="00C41EDD">
      <w:pPr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Исполнение бюджета в разрезе муниципальных программ за период 01.01.2021г-31.01.2021г</w:t>
      </w:r>
    </w:p>
    <w:p w:rsidR="00C41EDD" w:rsidRDefault="00C41EDD" w:rsidP="00C4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EDD" w:rsidRDefault="00C41EDD" w:rsidP="00C41EDD">
      <w:pPr>
        <w:spacing w:after="0" w:line="240" w:lineRule="auto"/>
        <w:ind w:left="-108" w:firstLine="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FFC">
        <w:rPr>
          <w:rFonts w:ascii="Times New Roman" w:hAnsi="Times New Roman" w:cs="Times New Roman"/>
          <w:sz w:val="24"/>
          <w:szCs w:val="24"/>
        </w:rPr>
        <w:t>В бюджете Гаринского городского округа по состоянию на 01.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4F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из общей суммы расходов составляют </w:t>
      </w:r>
      <w:r>
        <w:rPr>
          <w:rFonts w:ascii="Times New Roman" w:hAnsi="Times New Roman" w:cs="Times New Roman"/>
          <w:sz w:val="24"/>
          <w:szCs w:val="24"/>
        </w:rPr>
        <w:t>75,1</w:t>
      </w:r>
      <w:r w:rsidRPr="00AD4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FF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AD4FFC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821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FC">
        <w:rPr>
          <w:rFonts w:ascii="Times New Roman" w:hAnsi="Times New Roman" w:cs="Times New Roman"/>
          <w:sz w:val="24"/>
          <w:szCs w:val="24"/>
        </w:rPr>
        <w:t>тыс.</w:t>
      </w:r>
      <w:r w:rsidRPr="00AD4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рублей.</w:t>
      </w:r>
      <w:r w:rsidRPr="00AD4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AD4FFC">
        <w:rPr>
          <w:rFonts w:ascii="Times New Roman" w:hAnsi="Times New Roman" w:cs="Times New Roman"/>
          <w:sz w:val="24"/>
          <w:szCs w:val="24"/>
        </w:rPr>
        <w:t>Исполнение за период январ</w:t>
      </w:r>
      <w:r>
        <w:rPr>
          <w:rFonts w:ascii="Times New Roman" w:hAnsi="Times New Roman" w:cs="Times New Roman"/>
          <w:sz w:val="24"/>
          <w:szCs w:val="24"/>
        </w:rPr>
        <w:t>я 2021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года составило в размере </w:t>
      </w:r>
      <w:r>
        <w:rPr>
          <w:rFonts w:ascii="Times New Roman" w:hAnsi="Times New Roman" w:cs="Times New Roman"/>
          <w:sz w:val="24"/>
          <w:szCs w:val="24"/>
        </w:rPr>
        <w:t>7 854,0</w:t>
      </w:r>
      <w:r w:rsidRPr="00AD4FF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3,49</w:t>
      </w:r>
      <w:r w:rsidRPr="00AD4FFC">
        <w:rPr>
          <w:rFonts w:ascii="Times New Roman" w:hAnsi="Times New Roman" w:cs="Times New Roman"/>
          <w:sz w:val="24"/>
          <w:szCs w:val="24"/>
        </w:rPr>
        <w:t>%  от утвержденных назначений , в том числе по видам программ :</w:t>
      </w:r>
    </w:p>
    <w:p w:rsidR="00C41EDD" w:rsidRPr="00BB685C" w:rsidRDefault="00C41EDD">
      <w:pPr>
        <w:rPr>
          <w:rFonts w:ascii="Liberation Serif" w:hAnsi="Liberation Serif"/>
          <w:sz w:val="16"/>
          <w:szCs w:val="16"/>
        </w:rPr>
      </w:pP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452"/>
        <w:gridCol w:w="12069"/>
        <w:gridCol w:w="12069"/>
      </w:tblGrid>
      <w:tr w:rsidR="00864860" w:rsidRPr="00BB685C" w:rsidTr="00864860">
        <w:trPr>
          <w:trHeight w:val="31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9" w:type="dxa"/>
          </w:tcPr>
          <w:tbl>
            <w:tblPr>
              <w:tblW w:w="10259" w:type="dxa"/>
              <w:tblLayout w:type="fixed"/>
              <w:tblLook w:val="04A0" w:firstRow="1" w:lastRow="0" w:firstColumn="1" w:lastColumn="0" w:noHBand="0" w:noVBand="1"/>
            </w:tblPr>
            <w:tblGrid>
              <w:gridCol w:w="4691"/>
              <w:gridCol w:w="1546"/>
              <w:gridCol w:w="1687"/>
              <w:gridCol w:w="1418"/>
              <w:gridCol w:w="917"/>
            </w:tblGrid>
            <w:tr w:rsidR="00BB685C" w:rsidRPr="00BB685C" w:rsidTr="00BB685C">
              <w:trPr>
                <w:trHeight w:val="765"/>
              </w:trPr>
              <w:tc>
                <w:tcPr>
                  <w:tcW w:w="46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Ц.ст</w:t>
                  </w:r>
                  <w:proofErr w:type="spellEnd"/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Уточненный лимит БО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Касс. расход</w:t>
                  </w:r>
                </w:p>
              </w:tc>
              <w:tc>
                <w:tcPr>
                  <w:tcW w:w="9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Исполнение лимитов</w:t>
                  </w:r>
                </w:p>
              </w:tc>
            </w:tr>
            <w:tr w:rsidR="00BB685C" w:rsidRPr="00BB685C" w:rsidTr="00BB685C">
              <w:trPr>
                <w:trHeight w:val="359"/>
              </w:trPr>
              <w:tc>
                <w:tcPr>
                  <w:tcW w:w="4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685C" w:rsidRPr="00BB685C" w:rsidTr="00BB685C">
              <w:trPr>
                <w:trHeight w:val="34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 w:rsidP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5 097 963,00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417 746,85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8,19%</w:t>
                  </w:r>
                </w:p>
              </w:tc>
            </w:tr>
            <w:tr w:rsidR="00BB685C" w:rsidRPr="00BB685C" w:rsidTr="00BB685C">
              <w:trPr>
                <w:trHeight w:val="554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60 241 000,00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55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0210000000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60 000 000,00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48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0220000000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241 000,00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41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2 529 000,00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582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0400000000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735 700,00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54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0500000000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74 000,00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371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0600000000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115 138 868,00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4 500 354,25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3,91%</w:t>
                  </w:r>
                </w:p>
              </w:tc>
            </w:tr>
            <w:tr w:rsidR="00BB685C" w:rsidRPr="00BB685C" w:rsidTr="00BB685C">
              <w:trPr>
                <w:trHeight w:val="453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0610000000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21 261 800,00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2 718 000,00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12,78%</w:t>
                  </w:r>
                </w:p>
              </w:tc>
            </w:tr>
            <w:tr w:rsidR="00BB685C" w:rsidRPr="00BB685C" w:rsidTr="00BB685C">
              <w:trPr>
                <w:trHeight w:val="378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0620000000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59 382 829,00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880 378,50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1,48%</w:t>
                  </w:r>
                </w:p>
              </w:tc>
            </w:tr>
            <w:tr w:rsidR="00BB685C" w:rsidRPr="00BB685C" w:rsidTr="00BB685C">
              <w:trPr>
                <w:trHeight w:val="447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0630000000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16 478 245,00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196 050,06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1,19%</w:t>
                  </w:r>
                </w:p>
              </w:tc>
            </w:tr>
            <w:tr w:rsidR="00BB685C" w:rsidRPr="00BB685C" w:rsidTr="00BB685C">
              <w:trPr>
                <w:trHeight w:val="386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"Развитие системы отдыха и оздоровления в Гаринском городском округе на 2019-2024годы"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0640000000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2 177 100,00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76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0660000000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4 453 200,00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678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0670000000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11 385 694,00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705 925,69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6,20%</w:t>
                  </w:r>
                </w:p>
              </w:tc>
            </w:tr>
            <w:tr w:rsidR="00BB685C" w:rsidRPr="00BB685C" w:rsidTr="00BB685C">
              <w:trPr>
                <w:trHeight w:val="76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0700000000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289 000,00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76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0710000000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30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0720000000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51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0740000000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102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0750000000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389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0760000000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30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0770000000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377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0800000000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27 936 575,00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2 049 490,25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7,34%</w:t>
                  </w:r>
                </w:p>
              </w:tc>
            </w:tr>
            <w:tr w:rsidR="00BB685C" w:rsidRPr="00BB685C" w:rsidTr="00BB685C">
              <w:trPr>
                <w:trHeight w:val="41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</w:t>
                  </w:r>
                  <w:proofErr w:type="gramStart"/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Подпрограмма  "</w:t>
                  </w:r>
                  <w:proofErr w:type="gramEnd"/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0810000000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22 537 575,00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1 684 163,02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7,47%</w:t>
                  </w:r>
                </w:p>
              </w:tc>
            </w:tr>
            <w:tr w:rsidR="00BB685C" w:rsidRPr="00BB685C" w:rsidTr="00BB685C">
              <w:trPr>
                <w:trHeight w:val="362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0820000000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5 399 000,00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365 327,23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6,77%</w:t>
                  </w:r>
                </w:p>
              </w:tc>
            </w:tr>
            <w:tr w:rsidR="00BB685C" w:rsidRPr="00BB685C" w:rsidTr="00BB685C">
              <w:trPr>
                <w:trHeight w:val="76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0900000000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604 300,00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512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1000000000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471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"Пожарная безопасность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1100000000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235 000,00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397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1200000000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6 769 466,00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886 429,05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13,09%</w:t>
                  </w:r>
                </w:p>
              </w:tc>
            </w:tr>
            <w:tr w:rsidR="00BB685C" w:rsidRPr="00BB685C" w:rsidTr="00BB685C">
              <w:trPr>
                <w:trHeight w:val="510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lastRenderedPageBreak/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1220000000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611 166,00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489 866,00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80,15%</w:t>
                  </w:r>
                </w:p>
              </w:tc>
            </w:tr>
            <w:tr w:rsidR="00BB685C" w:rsidRPr="00BB685C" w:rsidTr="00BB685C">
              <w:trPr>
                <w:trHeight w:val="628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1230000000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6 158 300,00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396 563,05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outlineLvl w:val="0"/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color w:val="000000"/>
                      <w:sz w:val="16"/>
                      <w:szCs w:val="16"/>
                    </w:rPr>
                    <w:t>6,44%</w:t>
                  </w:r>
                </w:p>
              </w:tc>
            </w:tr>
            <w:tr w:rsidR="00BB685C" w:rsidRPr="00BB685C" w:rsidTr="00BB685C">
              <w:trPr>
                <w:trHeight w:val="444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1300000000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189 000,00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371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1400000000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222 092,00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76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1500000000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3 633 800,00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534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1600000000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176 000,00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765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685C" w:rsidRPr="00BB685C" w:rsidRDefault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1700000000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650 000,00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685C" w:rsidRPr="00BB685C" w:rsidRDefault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0,00%</w:t>
                  </w:r>
                </w:p>
              </w:tc>
            </w:tr>
            <w:tr w:rsidR="00BB685C" w:rsidRPr="00BB685C" w:rsidTr="00BB685C">
              <w:trPr>
                <w:trHeight w:val="276"/>
              </w:trPr>
              <w:tc>
                <w:tcPr>
                  <w:tcW w:w="4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B685C" w:rsidRPr="00BB685C" w:rsidRDefault="00BB685C" w:rsidP="00BB685C">
                  <w:pPr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B685C" w:rsidRPr="00BB685C" w:rsidRDefault="00BB685C" w:rsidP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B685C" w:rsidRPr="00BB685C" w:rsidRDefault="00BB685C" w:rsidP="00BB685C">
                  <w:pPr>
                    <w:jc w:val="center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224 821 764,0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B685C" w:rsidRPr="00BB685C" w:rsidRDefault="00BB685C" w:rsidP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7 854 020,40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BB685C" w:rsidRPr="00BB685C" w:rsidRDefault="00BB685C" w:rsidP="00BB685C">
                  <w:pPr>
                    <w:jc w:val="right"/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B685C">
                    <w:rPr>
                      <w:rFonts w:ascii="Liberation Serif" w:hAnsi="Liberation Serif" w:cs="Arial CYR"/>
                      <w:b/>
                      <w:bCs/>
                      <w:color w:val="000000"/>
                      <w:sz w:val="16"/>
                      <w:szCs w:val="16"/>
                    </w:rPr>
                    <w:t>3,49</w:t>
                  </w:r>
                </w:p>
              </w:tc>
            </w:tr>
          </w:tbl>
          <w:p w:rsidR="00864860" w:rsidRPr="00BB685C" w:rsidRDefault="00864860" w:rsidP="0086486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069" w:type="dxa"/>
            <w:vAlign w:val="bottom"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 период с 01.01.2020г. по 31.07.2020г. </w:t>
            </w:r>
          </w:p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4860" w:rsidRPr="00BB685C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 xml:space="preserve">              В бюджете Гаринского городского округа 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>216 238 </w:t>
            </w:r>
            <w:proofErr w:type="gramStart"/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363 </w:t>
            </w:r>
            <w:r w:rsidRPr="00BB685C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рублей</w:t>
            </w:r>
            <w:proofErr w:type="gramEnd"/>
            <w:r w:rsidRPr="00BB685C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>.</w:t>
            </w:r>
            <w:r w:rsidRPr="00BB685C">
              <w:rPr>
                <w:rFonts w:ascii="Liberation Serif" w:hAnsi="Liberation Serif" w:cs="Arial CYR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B685C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П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 xml:space="preserve">о состоянию на 01.08.2020 года исполнение составило в размере 88 946 </w:t>
            </w:r>
            <w:proofErr w:type="gramStart"/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426  рублей</w:t>
            </w:r>
            <w:proofErr w:type="gramEnd"/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,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 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или 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B685C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4860" w:rsidRPr="00BB685C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1C24" w:rsidRPr="00BB685C" w:rsidRDefault="003D1C24" w:rsidP="00AD4FFC">
      <w:pPr>
        <w:rPr>
          <w:rFonts w:ascii="Liberation Serif" w:hAnsi="Liberation Serif"/>
          <w:sz w:val="16"/>
          <w:szCs w:val="16"/>
        </w:rPr>
      </w:pPr>
    </w:p>
    <w:sectPr w:rsidR="003D1C24" w:rsidRPr="00BB685C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44" w:rsidRDefault="00DB1344" w:rsidP="00A01D62">
      <w:pPr>
        <w:spacing w:after="0" w:line="240" w:lineRule="auto"/>
      </w:pPr>
      <w:r>
        <w:separator/>
      </w:r>
    </w:p>
  </w:endnote>
  <w:endnote w:type="continuationSeparator" w:id="0">
    <w:p w:rsidR="00DB1344" w:rsidRDefault="00DB1344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956AF1" w:rsidRDefault="00956A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2E" w:rsidRPr="00293A2E">
          <w:rPr>
            <w:noProof/>
            <w:lang w:val="ru-RU"/>
          </w:rPr>
          <w:t>6</w:t>
        </w:r>
        <w:r>
          <w:fldChar w:fldCharType="end"/>
        </w:r>
      </w:p>
    </w:sdtContent>
  </w:sdt>
  <w:p w:rsidR="00956AF1" w:rsidRDefault="00956A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44" w:rsidRDefault="00DB1344" w:rsidP="00A01D62">
      <w:pPr>
        <w:spacing w:after="0" w:line="240" w:lineRule="auto"/>
      </w:pPr>
      <w:r>
        <w:separator/>
      </w:r>
    </w:p>
  </w:footnote>
  <w:footnote w:type="continuationSeparator" w:id="0">
    <w:p w:rsidR="00DB1344" w:rsidRDefault="00DB1344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E1C88"/>
    <w:rsid w:val="0031480B"/>
    <w:rsid w:val="0032130C"/>
    <w:rsid w:val="00335AFB"/>
    <w:rsid w:val="00346880"/>
    <w:rsid w:val="00356693"/>
    <w:rsid w:val="003A2F66"/>
    <w:rsid w:val="003B50B8"/>
    <w:rsid w:val="003D1C24"/>
    <w:rsid w:val="003D44A2"/>
    <w:rsid w:val="00400F34"/>
    <w:rsid w:val="00441CC3"/>
    <w:rsid w:val="00442B53"/>
    <w:rsid w:val="0045214F"/>
    <w:rsid w:val="004908AA"/>
    <w:rsid w:val="004E677A"/>
    <w:rsid w:val="00525617"/>
    <w:rsid w:val="00530C74"/>
    <w:rsid w:val="005671E9"/>
    <w:rsid w:val="0059255C"/>
    <w:rsid w:val="005934D5"/>
    <w:rsid w:val="005A6D6E"/>
    <w:rsid w:val="005C37E4"/>
    <w:rsid w:val="00624EFC"/>
    <w:rsid w:val="006640F1"/>
    <w:rsid w:val="006758B3"/>
    <w:rsid w:val="006948B9"/>
    <w:rsid w:val="006E29A0"/>
    <w:rsid w:val="00760C15"/>
    <w:rsid w:val="007A040D"/>
    <w:rsid w:val="007A2E10"/>
    <w:rsid w:val="007D6DC2"/>
    <w:rsid w:val="00811491"/>
    <w:rsid w:val="008163D0"/>
    <w:rsid w:val="00821404"/>
    <w:rsid w:val="008343F7"/>
    <w:rsid w:val="00864860"/>
    <w:rsid w:val="008652BF"/>
    <w:rsid w:val="00867AB8"/>
    <w:rsid w:val="008A3580"/>
    <w:rsid w:val="008A7AEA"/>
    <w:rsid w:val="008B1A49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A1A75"/>
    <w:rsid w:val="00AA7F79"/>
    <w:rsid w:val="00AD4FFC"/>
    <w:rsid w:val="00AE1209"/>
    <w:rsid w:val="00AF28A0"/>
    <w:rsid w:val="00B1487A"/>
    <w:rsid w:val="00B33574"/>
    <w:rsid w:val="00B523BD"/>
    <w:rsid w:val="00BB685C"/>
    <w:rsid w:val="00BE7EC1"/>
    <w:rsid w:val="00C41EDD"/>
    <w:rsid w:val="00CA40F9"/>
    <w:rsid w:val="00CB450C"/>
    <w:rsid w:val="00CE5D0A"/>
    <w:rsid w:val="00CF6804"/>
    <w:rsid w:val="00D24FAF"/>
    <w:rsid w:val="00D6363A"/>
    <w:rsid w:val="00D7654F"/>
    <w:rsid w:val="00D84C7F"/>
    <w:rsid w:val="00DB1344"/>
    <w:rsid w:val="00E24CA3"/>
    <w:rsid w:val="00E2570F"/>
    <w:rsid w:val="00E523EE"/>
    <w:rsid w:val="00E530D0"/>
    <w:rsid w:val="00E63F0F"/>
    <w:rsid w:val="00E71909"/>
    <w:rsid w:val="00E9025C"/>
    <w:rsid w:val="00ED17E4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BB45-EBC5-4B57-9F0B-744F4169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2021-02-02T12:05:00Z</cp:lastPrinted>
  <dcterms:created xsi:type="dcterms:W3CDTF">2021-02-02T08:40:00Z</dcterms:created>
  <dcterms:modified xsi:type="dcterms:W3CDTF">2021-02-02T12:05:00Z</dcterms:modified>
</cp:coreProperties>
</file>