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B7" w:rsidRDefault="00E018B7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hyperlink r:id="rId8">
        <w:r w:rsidR="00EB09EF">
          <w:rPr>
            <w:rFonts w:ascii="Century Gothic" w:eastAsia="Century Gothic" w:hAnsi="Century Gothic" w:cs="Century Gothic"/>
            <w:color w:val="1155CC"/>
            <w:sz w:val="22"/>
            <w:szCs w:val="22"/>
            <w:u w:val="single"/>
          </w:rPr>
          <w:t>фотогр</w:t>
        </w:r>
        <w:r w:rsidR="00EB09EF">
          <w:rPr>
            <w:rFonts w:ascii="Century Gothic" w:eastAsia="Century Gothic" w:hAnsi="Century Gothic" w:cs="Century Gothic"/>
            <w:color w:val="1155CC"/>
            <w:sz w:val="22"/>
            <w:szCs w:val="22"/>
            <w:u w:val="single"/>
          </w:rPr>
          <w:t>а</w:t>
        </w:r>
        <w:r w:rsidR="00EB09EF">
          <w:rPr>
            <w:rFonts w:ascii="Century Gothic" w:eastAsia="Century Gothic" w:hAnsi="Century Gothic" w:cs="Century Gothic"/>
            <w:color w:val="1155CC"/>
            <w:sz w:val="22"/>
            <w:szCs w:val="22"/>
            <w:u w:val="single"/>
          </w:rPr>
          <w:t>фии</w:t>
        </w:r>
      </w:hyperlink>
      <w:r w:rsidR="00EB09EF">
        <w:rPr>
          <w:rFonts w:ascii="Century Gothic" w:eastAsia="Century Gothic" w:hAnsi="Century Gothic" w:cs="Century Gothic"/>
          <w:sz w:val="22"/>
          <w:szCs w:val="22"/>
        </w:rPr>
        <w:t xml:space="preserve"> можно</w:t>
      </w:r>
      <w:r w:rsidR="00EB09EF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="00EB09EF">
        <w:rPr>
          <w:rFonts w:ascii="Century Gothic" w:eastAsia="Century Gothic" w:hAnsi="Century Gothic" w:cs="Century Gothic"/>
          <w:sz w:val="22"/>
          <w:szCs w:val="22"/>
        </w:rPr>
        <w:t>подписать - архив Премии “Жить вместе”</w:t>
      </w:r>
    </w:p>
    <w:p w:rsidR="00E018B7" w:rsidRDefault="00EB09EF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По всем вопросам: 8 985 910 777 3, 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>a.lenkova@premiavmeste.ru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(Анна, </w:t>
      </w:r>
      <w:r>
        <w:rPr>
          <w:rFonts w:ascii="Century Gothic" w:eastAsia="Century Gothic" w:hAnsi="Century Gothic" w:cs="Century Gothic"/>
          <w:color w:val="333333"/>
          <w:sz w:val="22"/>
          <w:szCs w:val="22"/>
          <w:highlight w:val="white"/>
        </w:rPr>
        <w:t>W.App</w:t>
      </w:r>
      <w:r>
        <w:rPr>
          <w:rFonts w:ascii="Century Gothic" w:eastAsia="Century Gothic" w:hAnsi="Century Gothic" w:cs="Century Gothic"/>
          <w:sz w:val="22"/>
          <w:szCs w:val="22"/>
        </w:rPr>
        <w:t>, TG)</w:t>
      </w:r>
    </w:p>
    <w:p w:rsidR="00E018B7" w:rsidRDefault="00E018B7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E018B7" w:rsidRDefault="00EB09EF">
      <w:pPr>
        <w:spacing w:line="276" w:lineRule="auto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Инициативы Свердловской области приглашают принять участие в национальной премии “Жить вместе-2023”</w:t>
      </w:r>
    </w:p>
    <w:p w:rsidR="00E018B7" w:rsidRDefault="00E018B7">
      <w:pPr>
        <w:spacing w:line="276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E018B7" w:rsidRDefault="00EB09EF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Премия “Жить вместе”, организованная одноименным благотворительным фондом “Жить вместе”, ищет и поддерживает неравнодушных людей, которые проявляют граждан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скую инициативу, объединяются в сообщества и решают социальные проблемы, развивают культурные традиции, сохраняют наследие, занимаются просвещением, помогают нуждающимся, в общем – делают добрые дела и изменяют нашу жизнь к лучшему. </w:t>
      </w:r>
    </w:p>
    <w:p w:rsidR="00E018B7" w:rsidRDefault="00E018B7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018B7" w:rsidRDefault="00EB09EF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Призовой фонд Премии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в 2023 году составит 1 125 000 рублей. </w:t>
      </w:r>
    </w:p>
    <w:p w:rsidR="00E018B7" w:rsidRDefault="00E018B7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018B7" w:rsidRDefault="00EB09EF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В 2022 году в Премии были представлены свердловские проекты во всех номинациях. Некоторые из них известны далеко за пределами региона. Это сообщество любителей русской культуры из Екатеринбурга “Творчество вместе, э</w:t>
      </w:r>
      <w:r>
        <w:rPr>
          <w:rFonts w:ascii="Century Gothic" w:eastAsia="Century Gothic" w:hAnsi="Century Gothic" w:cs="Century Gothic"/>
          <w:sz w:val="22"/>
          <w:szCs w:val="22"/>
        </w:rPr>
        <w:t>нтузиасты которого возрождают уральские школы иконописи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Инклюзивный театр-студия Ora, </w:t>
      </w:r>
      <w:r>
        <w:rPr>
          <w:rFonts w:ascii="Century Gothic" w:eastAsia="Century Gothic" w:hAnsi="Century Gothic" w:cs="Century Gothic"/>
          <w:color w:val="333333"/>
          <w:sz w:val="22"/>
          <w:szCs w:val="22"/>
          <w:highlight w:val="white"/>
        </w:rPr>
        <w:t>помогающий реабилитироваться людям с ОВЗ через участие в театрализованных постановках.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Другой свердловский проект “Если дома не сидится” через видеосюжеты знакомит жите</w:t>
      </w:r>
      <w:r>
        <w:rPr>
          <w:rFonts w:ascii="Century Gothic" w:eastAsia="Century Gothic" w:hAnsi="Century Gothic" w:cs="Century Gothic"/>
          <w:sz w:val="22"/>
          <w:szCs w:val="22"/>
        </w:rPr>
        <w:t>лей Урала с популярными, малоизвестными и авторскими маршрутами не только Свердловской, но и Челябинской области, а также Пермского края.</w:t>
      </w:r>
    </w:p>
    <w:p w:rsidR="00E018B7" w:rsidRDefault="00E018B7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018B7" w:rsidRDefault="00EB09EF">
      <w:pPr>
        <w:spacing w:line="276" w:lineRule="auto"/>
        <w:jc w:val="both"/>
        <w:rPr>
          <w:rFonts w:ascii="Century Gothic" w:eastAsia="Century Gothic" w:hAnsi="Century Gothic" w:cs="Century Gothic"/>
          <w:b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t>Андрей Васенёв, руководитель премии “Жить вместе”:</w:t>
      </w:r>
    </w:p>
    <w:p w:rsidR="00E018B7" w:rsidRDefault="00EB09EF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>“В 2023 году премию “Жить вместе” будут вручать уже в четвёртый раз. В течение предыдущих трёх лет мы приняли более тысячи заявок из 80 регионов России, а в этот раз ожидается рекордное число номинантов, потому что из года в год премия становится всё извес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тнее”. </w:t>
      </w:r>
    </w:p>
    <w:p w:rsidR="00E018B7" w:rsidRDefault="00E018B7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018B7" w:rsidRDefault="00EB09EF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yellow"/>
        </w:rPr>
      </w:pPr>
      <w:r>
        <w:rPr>
          <w:rFonts w:ascii="Century Gothic" w:eastAsia="Century Gothic" w:hAnsi="Century Gothic" w:cs="Century Gothic"/>
          <w:sz w:val="22"/>
          <w:szCs w:val="22"/>
        </w:rPr>
        <w:t>Главный критерий отбора кандидатов на Премию – наличие устойчивого сообщества, организованного на основе общих ценностей и объединённого общей целью. Это может быть как постоянная команда, так и привлечённые волонтёры, которые вносят посильный вкл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ад в общее дело. 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Проект должен существовать не менее 3 лет (то есть начат не позднее 31.12.2020) </w:t>
      </w:r>
    </w:p>
    <w:p w:rsidR="00E018B7" w:rsidRDefault="00E018B7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018B7" w:rsidRDefault="00EB09EF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В этот раз лауреаты Премии “Жить вместе” будут награждены в 5 номинациях: </w:t>
      </w:r>
    </w:p>
    <w:p w:rsidR="00E018B7" w:rsidRDefault="00E018B7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018B7" w:rsidRDefault="00EB09EF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“Память”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(проекты, которые занимаются сохранением памяти о жертвах советских репр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ессий, генеалогические проекты); </w:t>
      </w:r>
    </w:p>
    <w:p w:rsidR="00E018B7" w:rsidRDefault="00EB09EF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“Культура”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театральные, музыкальные и выставочные проекты, направленные на сохранение и развитие культурного наследия); </w:t>
      </w:r>
    </w:p>
    <w:p w:rsidR="00E018B7" w:rsidRDefault="00EB09EF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t>“Милосердие”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(социальные проекты, направленные на оказание комплексной помощи людям, нуждающимся в п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оддержке и сопровождении, сообщества, которые объединяются для оказания гуманитарной помощи, проекты, направленные на системные изменения комплексной помощи людям); </w:t>
      </w:r>
    </w:p>
    <w:p w:rsidR="00E018B7" w:rsidRDefault="00EB09EF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t>“Церковь”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(проекты, занимающиеся литургическим возрождением, духовным и церковным просвеще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нием, развитием общения  на приходах и в общинах, изучением опыта новомучеников и исповедников российских); </w:t>
      </w:r>
    </w:p>
    <w:p w:rsidR="00E018B7" w:rsidRDefault="00E018B7">
      <w:pPr>
        <w:spacing w:line="276" w:lineRule="auto"/>
        <w:ind w:left="720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</w:p>
    <w:p w:rsidR="00E018B7" w:rsidRDefault="00EB09EF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t>“Русская традиция”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(проекты, которые занимаются сохранением и возрождением традиционной русской культуры в разных её видах (крестьянская сельская 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культура, городская культура, фольклор) и русской идентичности). </w:t>
      </w:r>
    </w:p>
    <w:p w:rsidR="00E018B7" w:rsidRDefault="00E018B7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</w:p>
    <w:p w:rsidR="00E018B7" w:rsidRDefault="00EB09EF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>Лауреатов Премии определит экспертное жюри, в которое вошли известные и авторитетные деятели культуры и искусства, журналисты, просветители, благотворители и священнослужители. Эксперты оценят эффективность предлагаемых проектов, рассмотрят, как с их помощ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ью решаются социальные и общественные проблемы в регионах, а также проанализируют возможность тиражирования и масштабирования проектов в других регионах России. </w:t>
      </w:r>
    </w:p>
    <w:p w:rsidR="00E018B7" w:rsidRDefault="00E018B7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</w:p>
    <w:p w:rsidR="00E018B7" w:rsidRDefault="00EB09EF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О новостях Премии можно узнавать из группы ВК  БФ “Жить вместе” </w:t>
      </w:r>
      <w:hyperlink r:id="rId9">
        <w:r>
          <w:rPr>
            <w:rFonts w:ascii="Century Gothic" w:eastAsia="Century Gothic" w:hAnsi="Century Gothic" w:cs="Century Gothic"/>
            <w:color w:val="1155CC"/>
            <w:sz w:val="22"/>
            <w:szCs w:val="22"/>
            <w:highlight w:val="white"/>
            <w:u w:val="single"/>
          </w:rPr>
          <w:t>https://vk.com/fond_zhit_vmeste</w:t>
        </w:r>
      </w:hyperlink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</w:t>
      </w:r>
    </w:p>
    <w:p w:rsidR="00E018B7" w:rsidRDefault="00E018B7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018B7" w:rsidRDefault="00E018B7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E018B7" w:rsidSect="00E018B7">
      <w:headerReference w:type="first" r:id="rId10"/>
      <w:pgSz w:w="11906" w:h="16838"/>
      <w:pgMar w:top="1134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EF" w:rsidRDefault="00EB09EF" w:rsidP="00E018B7">
      <w:r>
        <w:separator/>
      </w:r>
    </w:p>
  </w:endnote>
  <w:endnote w:type="continuationSeparator" w:id="0">
    <w:p w:rsidR="00EB09EF" w:rsidRDefault="00EB09EF" w:rsidP="00E0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EF" w:rsidRDefault="00EB09EF" w:rsidP="00E018B7">
      <w:r>
        <w:separator/>
      </w:r>
    </w:p>
  </w:footnote>
  <w:footnote w:type="continuationSeparator" w:id="0">
    <w:p w:rsidR="00EB09EF" w:rsidRDefault="00EB09EF" w:rsidP="00E01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B7" w:rsidRDefault="00EB09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-1073134</wp:posOffset>
          </wp:positionH>
          <wp:positionV relativeFrom="paragraph">
            <wp:posOffset>0</wp:posOffset>
          </wp:positionV>
          <wp:extent cx="7561580" cy="2109470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210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057E"/>
    <w:multiLevelType w:val="multilevel"/>
    <w:tmpl w:val="12C8D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18B7"/>
    <w:rsid w:val="004E2D91"/>
    <w:rsid w:val="00921AD3"/>
    <w:rsid w:val="00E018B7"/>
    <w:rsid w:val="00EB09EF"/>
    <w:rsid w:val="00F0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7"/>
  </w:style>
  <w:style w:type="paragraph" w:styleId="1">
    <w:name w:val="heading 1"/>
    <w:basedOn w:val="normal"/>
    <w:next w:val="normal"/>
    <w:rsid w:val="00E018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018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018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018B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018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018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E018B7"/>
  </w:style>
  <w:style w:type="table" w:customStyle="1" w:styleId="TableNormal">
    <w:name w:val="Table Normal"/>
    <w:rsid w:val="00E0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018B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E018B7"/>
  </w:style>
  <w:style w:type="table" w:customStyle="1" w:styleId="TableNormal0">
    <w:name w:val="Table Normal"/>
    <w:rsid w:val="00E0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E018B7"/>
  </w:style>
  <w:style w:type="table" w:customStyle="1" w:styleId="TableNormal1">
    <w:name w:val="Table Normal"/>
    <w:rsid w:val="00E0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E018B7"/>
  </w:style>
  <w:style w:type="table" w:customStyle="1" w:styleId="TableNormal2">
    <w:name w:val="Table Normal"/>
    <w:rsid w:val="00E0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E018B7"/>
  </w:style>
  <w:style w:type="table" w:customStyle="1" w:styleId="TableNormal3">
    <w:name w:val="Table Normal"/>
    <w:rsid w:val="00E0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E018B7"/>
  </w:style>
  <w:style w:type="table" w:customStyle="1" w:styleId="TableNormal4">
    <w:name w:val="Table Normal"/>
    <w:rsid w:val="00E0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E018B7"/>
  </w:style>
  <w:style w:type="table" w:customStyle="1" w:styleId="TableNormal5">
    <w:name w:val="Table Normal"/>
    <w:rsid w:val="00E0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E018B7"/>
  </w:style>
  <w:style w:type="table" w:customStyle="1" w:styleId="TableNormal6">
    <w:name w:val="Table Normal"/>
    <w:rsid w:val="00E0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"/>
    <w:rsid w:val="00E018B7"/>
  </w:style>
  <w:style w:type="table" w:customStyle="1" w:styleId="TableNormal7">
    <w:name w:val="Table Normal"/>
    <w:rsid w:val="00E0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9">
    <w:name w:val="normal"/>
    <w:rsid w:val="00E018B7"/>
  </w:style>
  <w:style w:type="table" w:customStyle="1" w:styleId="TableNormal8">
    <w:name w:val="Table Normal"/>
    <w:rsid w:val="00E0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a">
    <w:name w:val="normal"/>
    <w:rsid w:val="00E018B7"/>
  </w:style>
  <w:style w:type="table" w:customStyle="1" w:styleId="TableNormal9">
    <w:name w:val="Table Normal"/>
    <w:rsid w:val="00E0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b">
    <w:name w:val="normal"/>
    <w:rsid w:val="00E018B7"/>
  </w:style>
  <w:style w:type="table" w:customStyle="1" w:styleId="TableNormala">
    <w:name w:val="Table Normal"/>
    <w:rsid w:val="00E0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c">
    <w:name w:val="normal"/>
    <w:rsid w:val="00E018B7"/>
  </w:style>
  <w:style w:type="table" w:customStyle="1" w:styleId="TableNormalb">
    <w:name w:val="Table Normal"/>
    <w:rsid w:val="00E0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d">
    <w:name w:val="normal"/>
    <w:rsid w:val="00E018B7"/>
  </w:style>
  <w:style w:type="table" w:customStyle="1" w:styleId="TableNormalc">
    <w:name w:val="Table Normal"/>
    <w:rsid w:val="00E0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">
    <w:name w:val="normal"/>
    <w:rsid w:val="00E018B7"/>
  </w:style>
  <w:style w:type="table" w:customStyle="1" w:styleId="TableNormald">
    <w:name w:val="Table Normal"/>
    <w:rsid w:val="00E0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E018B7"/>
  </w:style>
  <w:style w:type="table" w:customStyle="1" w:styleId="TableNormale">
    <w:name w:val="Table Normal"/>
    <w:rsid w:val="00E01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23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336A"/>
  </w:style>
  <w:style w:type="paragraph" w:styleId="a6">
    <w:name w:val="footer"/>
    <w:basedOn w:val="a"/>
    <w:link w:val="a7"/>
    <w:uiPriority w:val="99"/>
    <w:unhideWhenUsed/>
    <w:rsid w:val="00023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36A"/>
  </w:style>
  <w:style w:type="paragraph" w:styleId="a8">
    <w:name w:val="Subtitle"/>
    <w:basedOn w:val="normal"/>
    <w:next w:val="normal"/>
    <w:rsid w:val="00E018B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i9ByL81kA9ErCaLuSXWx884cGakHRV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fond_zhit_vmes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4+01ftl7fru4rIrXo3fKF/uBZA==">AMUW2mXPsWn+XNIg91+GwGbdemtQmaUpd2MQl2K+M1ukzUlXl5RldEa/YIkSuh2v2ljymvi1cqVrEUJlXdFlZPnLEVJxCG6Fiku01OO5LQ1LK6vFog3TnVk=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2022-12-08T03:19:00Z</dcterms:created>
  <dcterms:modified xsi:type="dcterms:W3CDTF">2022-12-08T04:29:00Z</dcterms:modified>
</cp:coreProperties>
</file>