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540"/>
        <w:jc w:val="both"/>
        <w:rPr>
          <w:color w:val="000000"/>
          <w:sz w:val="24"/>
        </w:rPr>
      </w:pPr>
    </w:p>
    <w:p w14:paraId="02000000">
      <w:pPr>
        <w:ind/>
        <w:jc w:val="both"/>
        <w:rPr>
          <w:color w:val="000000"/>
          <w:sz w:val="24"/>
        </w:rPr>
      </w:pPr>
    </w:p>
    <w:tbl>
      <w:tblPr>
        <w:tblStyle w:val="Style_1"/>
        <w:tblInd w:type="dxa" w:w="89"/>
        <w:tblCellMar>
          <w:left w:type="dxa" w:w="89"/>
          <w:right w:type="dxa" w:w="89"/>
        </w:tblCellMar>
      </w:tblPr>
      <w:tblGrid>
        <w:gridCol w:w="909"/>
        <w:gridCol w:w="505"/>
        <w:gridCol w:w="404"/>
        <w:gridCol w:w="2322"/>
        <w:gridCol w:w="1077"/>
        <w:gridCol w:w="4564"/>
      </w:tblGrid>
      <w:tr>
        <w:trPr>
          <w:trHeight w:hRule="exact" w:val="2341"/>
        </w:trPr>
        <w:tc>
          <w:tcPr>
            <w:tcW w:type="dxa" w:w="4140"/>
            <w:gridSpan w:val="4"/>
            <w:tcMar>
              <w:left w:type="dxa" w:w="89"/>
              <w:right w:type="dxa" w:w="89"/>
            </w:tcMar>
          </w:tcPr>
          <w:p w14:paraId="03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</w:tc>
        <w:tc>
          <w:tcPr>
            <w:tcW w:type="dxa" w:w="1077"/>
            <w:vMerge w:val="restart"/>
            <w:tcMar>
              <w:left w:type="dxa" w:w="89"/>
              <w:right w:type="dxa" w:w="89"/>
            </w:tcMar>
          </w:tcPr>
          <w:p w14:paraId="04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4564"/>
            <w:vMerge w:val="restart"/>
            <w:tcMar>
              <w:left w:type="dxa" w:w="89"/>
              <w:right w:type="dxa" w:w="89"/>
            </w:tcMar>
          </w:tcPr>
          <w:p w14:paraId="05000000">
            <w:pPr>
              <w:pStyle w:val="Style_2"/>
              <w:ind/>
              <w:contextualSpacing w:val="1"/>
              <w:jc w:val="center"/>
            </w:pPr>
          </w:p>
          <w:p w14:paraId="0600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r>
              <w:rPr>
                <w:sz w:val="24"/>
              </w:rPr>
              <w:t>Гаринского</w:t>
            </w:r>
            <w:r>
              <w:rPr>
                <w:sz w:val="24"/>
              </w:rPr>
              <w:t xml:space="preserve"> городского округа</w:t>
            </w:r>
          </w:p>
          <w:p w14:paraId="07000000">
            <w:pPr>
              <w:ind/>
              <w:contextualSpacing w:val="1"/>
              <w:jc w:val="both"/>
              <w:rPr>
                <w:sz w:val="24"/>
              </w:rPr>
            </w:pPr>
          </w:p>
          <w:p w14:paraId="0800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Гла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Гаринского городского округа </w:t>
            </w:r>
            <w:r>
              <w:rPr>
                <w:sz w:val="24"/>
              </w:rPr>
              <w:t>С.Е</w:t>
            </w:r>
            <w:r>
              <w:rPr>
                <w:sz w:val="24"/>
              </w:rPr>
              <w:t>.Величко</w:t>
            </w:r>
          </w:p>
          <w:p w14:paraId="09000000">
            <w:pPr>
              <w:ind/>
              <w:contextualSpacing w:val="1"/>
              <w:jc w:val="both"/>
              <w:rPr>
                <w:sz w:val="24"/>
              </w:rPr>
            </w:pPr>
          </w:p>
          <w:p w14:paraId="0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natabusi@mail.ru</w:t>
            </w:r>
          </w:p>
          <w:p w14:paraId="0B000000">
            <w:pPr>
              <w:ind/>
              <w:contextualSpacing w:val="1"/>
              <w:jc w:val="both"/>
            </w:pPr>
          </w:p>
        </w:tc>
      </w:tr>
      <w:tr>
        <w:trPr>
          <w:trHeight w:hRule="exact" w:val="397"/>
        </w:trPr>
        <w:tc>
          <w:tcPr>
            <w:tcW w:type="dxa" w:w="1414"/>
            <w:gridSpan w:val="2"/>
            <w:tcMar>
              <w:left w:type="dxa" w:w="89"/>
              <w:right w:type="dxa" w:w="89"/>
            </w:tcMar>
            <w:vAlign w:val="bottom"/>
          </w:tcPr>
          <w:p w14:paraId="0C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404"/>
            <w:tcMar>
              <w:left w:type="dxa" w:w="89"/>
              <w:right w:type="dxa" w:w="89"/>
            </w:tcMar>
            <w:vAlign w:val="bottom"/>
          </w:tcPr>
          <w:p w14:paraId="0D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2322"/>
            <w:tcMar>
              <w:left w:type="dxa" w:w="89"/>
              <w:right w:type="dxa" w:w="89"/>
            </w:tcMar>
            <w:vAlign w:val="bottom"/>
          </w:tcPr>
          <w:p w14:paraId="0E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227"/>
        </w:trPr>
        <w:tc>
          <w:tcPr>
            <w:tcW w:type="dxa" w:w="1414"/>
            <w:gridSpan w:val="2"/>
            <w:tcMar>
              <w:left w:type="dxa" w:w="89"/>
              <w:right w:type="dxa" w:w="89"/>
            </w:tcMar>
            <w:vAlign w:val="bottom"/>
          </w:tcPr>
          <w:p w14:paraId="0F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04"/>
            <w:tcMar>
              <w:left w:type="dxa" w:w="89"/>
              <w:right w:type="dxa" w:w="89"/>
            </w:tcMar>
            <w:vAlign w:val="bottom"/>
          </w:tcPr>
          <w:p w14:paraId="10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2322"/>
            <w:tcMar>
              <w:left w:type="dxa" w:w="89"/>
              <w:right w:type="dxa" w:w="89"/>
            </w:tcMar>
            <w:vAlign w:val="bottom"/>
          </w:tcPr>
          <w:p w14:paraId="11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397"/>
        </w:trPr>
        <w:tc>
          <w:tcPr>
            <w:tcW w:type="dxa" w:w="909"/>
            <w:tcMar>
              <w:left w:type="dxa" w:w="89"/>
              <w:right w:type="dxa" w:w="89"/>
            </w:tcMar>
            <w:vAlign w:val="bottom"/>
          </w:tcPr>
          <w:p w14:paraId="12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3231"/>
            <w:gridSpan w:val="3"/>
            <w:tcMar>
              <w:left w:type="dxa" w:w="89"/>
              <w:right w:type="dxa" w:w="89"/>
            </w:tcMar>
            <w:vAlign w:val="bottom"/>
          </w:tcPr>
          <w:p w14:paraId="13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227"/>
        </w:trPr>
        <w:tc>
          <w:tcPr>
            <w:tcW w:type="dxa" w:w="909"/>
            <w:tcMar>
              <w:left w:type="dxa" w:w="89"/>
              <w:right w:type="dxa" w:w="89"/>
            </w:tcMar>
            <w:vAlign w:val="bottom"/>
          </w:tcPr>
          <w:p w14:paraId="14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</w:tc>
        <w:tc>
          <w:tcPr>
            <w:tcW w:type="dxa" w:w="3231"/>
            <w:gridSpan w:val="3"/>
            <w:tcMar>
              <w:left w:type="dxa" w:w="89"/>
              <w:right w:type="dxa" w:w="89"/>
            </w:tcMar>
            <w:vAlign w:val="bottom"/>
          </w:tcPr>
          <w:p w14:paraId="15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  <w:p w14:paraId="16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  <w:p w14:paraId="17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  <w:p w14:paraId="18000000">
            <w:pPr>
              <w:ind/>
              <w:contextualSpacing w:val="1"/>
              <w:jc w:val="center"/>
              <w:rPr>
                <w:b w:val="1"/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495"/>
        </w:trPr>
        <w:tc>
          <w:tcPr>
            <w:tcW w:type="dxa" w:w="4140"/>
            <w:gridSpan w:val="4"/>
            <w:tcMar>
              <w:left w:type="dxa" w:w="89"/>
              <w:right w:type="dxa" w:w="89"/>
            </w:tcMar>
          </w:tcPr>
          <w:p w14:paraId="19000000">
            <w:pPr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</w:tbl>
    <w:p w14:paraId="1A000000">
      <w:pPr>
        <w:ind/>
        <w:contextualSpacing w:val="1"/>
        <w:jc w:val="center"/>
        <w:rPr>
          <w:sz w:val="24"/>
        </w:rPr>
      </w:pPr>
      <w:r>
        <w:rPr>
          <w:sz w:val="24"/>
        </w:rPr>
        <w:t>Уважаем</w:t>
      </w:r>
      <w:r>
        <w:rPr>
          <w:sz w:val="24"/>
        </w:rPr>
        <w:t xml:space="preserve">ый </w:t>
      </w:r>
      <w:r>
        <w:rPr>
          <w:sz w:val="24"/>
        </w:rPr>
        <w:t>Сергей</w:t>
      </w:r>
      <w:r>
        <w:rPr>
          <w:sz w:val="24"/>
        </w:rPr>
        <w:t xml:space="preserve"> </w:t>
      </w:r>
      <w:r>
        <w:rPr>
          <w:sz w:val="24"/>
        </w:rPr>
        <w:t>Евгеньевич</w:t>
      </w:r>
      <w:r>
        <w:rPr>
          <w:sz w:val="24"/>
        </w:rPr>
        <w:t>!</w:t>
      </w:r>
    </w:p>
    <w:p w14:paraId="1B000000">
      <w:pPr>
        <w:ind/>
        <w:contextualSpacing w:val="1"/>
        <w:jc w:val="center"/>
        <w:rPr>
          <w:sz w:val="24"/>
        </w:rPr>
      </w:pPr>
    </w:p>
    <w:p w14:paraId="1C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Межрайонная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14:paraId="1D000000">
      <w:pPr>
        <w:ind w:firstLine="0" w:left="-360"/>
        <w:jc w:val="center"/>
        <w:rPr>
          <w:b w:val="1"/>
          <w:color w:val="000000"/>
          <w:sz w:val="24"/>
        </w:rPr>
      </w:pPr>
    </w:p>
    <w:p w14:paraId="1E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Тема: О консультационных пунктах налоговой инспекции в рамках декларационной кампании 2020 год</w:t>
      </w:r>
    </w:p>
    <w:p w14:paraId="1F000000">
      <w:pPr>
        <w:rPr>
          <w:b w:val="1"/>
          <w:color w:val="000000"/>
          <w:sz w:val="24"/>
        </w:rPr>
      </w:pPr>
    </w:p>
    <w:p w14:paraId="2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i w:val="1"/>
          <w:sz w:val="24"/>
        </w:rPr>
        <w:t xml:space="preserve">    </w:t>
      </w:r>
      <w:r>
        <w:rPr>
          <w:rFonts w:ascii="Times New Roman" w:hAnsi="Times New Roman"/>
          <w:sz w:val="24"/>
        </w:rPr>
        <w:t>Межрайонная ИФНС России № 26 по Свердловской области в рамках декларационной кампании 2020 года доводит до налогоплательщиков – физических лиц информацию об адресах и времени приёма деклараций по форме 3-НДФЛ, о размещении консультационных пунктов и номерах телефонов налоговых органов</w:t>
      </w:r>
    </w:p>
    <w:p w14:paraId="21000000">
      <w:pPr>
        <w:ind w:firstLine="567"/>
        <w:jc w:val="both"/>
        <w:rPr>
          <w:sz w:val="24"/>
        </w:rPr>
      </w:pPr>
      <w:r>
        <w:rPr>
          <w:sz w:val="24"/>
        </w:rPr>
        <w:t xml:space="preserve">           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200"/>
        <w:gridCol w:w="3820"/>
        <w:gridCol w:w="2401"/>
      </w:tblGrid>
      <w:tr>
        <w:trPr>
          <w:trHeight w:hRule="atLeast" w:val="1404"/>
        </w:trPr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Серов ул. Луначарского 91 здание инспекции </w:t>
            </w:r>
          </w:p>
          <w:p w14:paraId="23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4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5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6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7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8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9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A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B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Верхотурье ул. Советская 9</w:t>
            </w:r>
          </w:p>
          <w:p w14:paraId="2C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(выездной)</w:t>
            </w:r>
          </w:p>
          <w:p w14:paraId="2D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E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2F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30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31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32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33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г. Новая Ляля ул. Р. Люксембург 28</w:t>
            </w:r>
          </w:p>
          <w:p w14:paraId="34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(выездной)</w:t>
            </w:r>
          </w:p>
          <w:p w14:paraId="35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36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37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38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39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3A000000">
            <w:pPr>
              <w:spacing w:line="276" w:lineRule="auto"/>
              <w:ind/>
              <w:rPr>
                <w:sz w:val="24"/>
              </w:rPr>
            </w:pPr>
          </w:p>
          <w:p w14:paraId="3B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пгт.Гари (выездной) здание администрации</w:t>
            </w:r>
          </w:p>
          <w:p w14:paraId="3C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Свердловская обл, Гаринский р-н, Гари пгт, Комсомольская ул,52</w:t>
            </w:r>
          </w:p>
          <w:p w14:paraId="3D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3E000000">
            <w:pPr>
              <w:spacing w:line="276" w:lineRule="auto"/>
              <w:ind/>
              <w:rPr>
                <w:sz w:val="24"/>
              </w:rPr>
            </w:pPr>
          </w:p>
          <w:p w14:paraId="3F000000">
            <w:pPr>
              <w:spacing w:line="276" w:lineRule="auto"/>
              <w:ind/>
              <w:rPr>
                <w:sz w:val="24"/>
              </w:rPr>
            </w:pPr>
          </w:p>
          <w:p w14:paraId="40000000">
            <w:pPr>
              <w:spacing w:line="276" w:lineRule="auto"/>
              <w:ind/>
              <w:rPr>
                <w:sz w:val="24"/>
              </w:rPr>
            </w:pPr>
          </w:p>
          <w:p w14:paraId="41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рп.Сосьва (выездной) здание ЖКХ</w:t>
            </w:r>
          </w:p>
          <w:p w14:paraId="42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Свердловская обл, Серовский р-н, Сосьва п, Ленина ул,2</w:t>
            </w:r>
          </w:p>
        </w:tc>
        <w:tc>
          <w:tcPr>
            <w:tcW w:type="dxa" w:w="3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Пн., ср. с 9.00 до 18.00</w:t>
            </w:r>
          </w:p>
          <w:p w14:paraId="44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Вт., чт. с 9.00 до 20.00</w:t>
            </w:r>
          </w:p>
          <w:p w14:paraId="45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Пт.        с 9.00 до 17.00</w:t>
            </w:r>
          </w:p>
          <w:p w14:paraId="46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Февраль: 2-я и 4-я суббота</w:t>
            </w:r>
          </w:p>
          <w:p w14:paraId="47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с 10.00 до 15.00</w:t>
            </w:r>
          </w:p>
          <w:p w14:paraId="48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Март: 1 и 4 с 10.00 до 15.00</w:t>
            </w:r>
          </w:p>
          <w:p w14:paraId="49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Апрель: 2-я и 4-я суббота</w:t>
            </w:r>
          </w:p>
          <w:p w14:paraId="4A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с 10.00 до 15.00</w:t>
            </w:r>
          </w:p>
          <w:p w14:paraId="4B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4C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4D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 и четверг с 10.00 до 17.00 перерыв с 13.00 до 13.48</w:t>
            </w:r>
          </w:p>
          <w:p w14:paraId="4E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4F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0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1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2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3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4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Пт. с 09.00 до 17.00 перерыв с 13.00 до 13.48</w:t>
            </w:r>
          </w:p>
          <w:p w14:paraId="55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6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7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8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59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5A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5B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 (четвертая среда)</w:t>
            </w:r>
          </w:p>
          <w:p w14:paraId="5C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 11.00 до 13.00</w:t>
            </w:r>
          </w:p>
          <w:p w14:paraId="5D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E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5F000000">
            <w:pPr>
              <w:spacing w:line="276" w:lineRule="auto"/>
              <w:ind/>
              <w:jc w:val="both"/>
              <w:rPr>
                <w:sz w:val="24"/>
              </w:rPr>
            </w:pPr>
          </w:p>
          <w:p w14:paraId="60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61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62000000">
            <w:pPr>
              <w:spacing w:line="276" w:lineRule="auto"/>
              <w:ind/>
              <w:jc w:val="center"/>
              <w:rPr>
                <w:sz w:val="24"/>
              </w:rPr>
            </w:pPr>
          </w:p>
          <w:p w14:paraId="6300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 (четвертая среда)</w:t>
            </w:r>
          </w:p>
          <w:p w14:paraId="64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 14.00 до 16.00</w:t>
            </w:r>
          </w:p>
        </w:tc>
        <w:tc>
          <w:tcPr>
            <w:tcW w:type="dxa" w:w="2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(34385) 99061, 99002</w:t>
            </w:r>
          </w:p>
          <w:p w14:paraId="66000000">
            <w:pPr>
              <w:spacing w:line="276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Бесплатный общефедеральный телефонный номер единого Контакт-центра – 8-800-222-22-22</w:t>
            </w:r>
          </w:p>
          <w:p w14:paraId="67000000">
            <w:pPr>
              <w:spacing w:line="276" w:lineRule="auto"/>
              <w:ind/>
              <w:rPr>
                <w:sz w:val="24"/>
              </w:rPr>
            </w:pPr>
          </w:p>
          <w:p w14:paraId="68000000">
            <w:pPr>
              <w:spacing w:line="276" w:lineRule="auto"/>
              <w:ind/>
              <w:rPr>
                <w:sz w:val="24"/>
              </w:rPr>
            </w:pPr>
          </w:p>
          <w:p w14:paraId="69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(34385) 99061, 99002</w:t>
            </w:r>
          </w:p>
          <w:p w14:paraId="6A000000">
            <w:pPr>
              <w:spacing w:line="276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Бесплатный общефедеральный телефонный номер единого Контакт-центра – 8-800-222-22-22</w:t>
            </w:r>
          </w:p>
          <w:p w14:paraId="6B000000">
            <w:pPr>
              <w:spacing w:line="276" w:lineRule="auto"/>
              <w:ind/>
              <w:rPr>
                <w:sz w:val="24"/>
              </w:rPr>
            </w:pPr>
          </w:p>
          <w:p w14:paraId="6C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(34385) 99061, 99002</w:t>
            </w:r>
          </w:p>
          <w:p w14:paraId="6D000000">
            <w:pPr>
              <w:spacing w:line="276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Бесплатный общефедеральный телефонный номер единого Контакт-центра – 8-800-222-22-22</w:t>
            </w:r>
          </w:p>
          <w:p w14:paraId="6E000000">
            <w:pPr>
              <w:spacing w:line="276" w:lineRule="auto"/>
              <w:ind/>
              <w:rPr>
                <w:sz w:val="24"/>
              </w:rPr>
            </w:pPr>
          </w:p>
          <w:p w14:paraId="6F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(34385)99061, 99002</w:t>
            </w:r>
          </w:p>
          <w:p w14:paraId="70000000">
            <w:pPr>
              <w:spacing w:line="276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Бесплатный общефедеральный телефонный номер единого Контакт-центра – 8-800-222-22-22</w:t>
            </w:r>
          </w:p>
          <w:p w14:paraId="71000000">
            <w:pPr>
              <w:spacing w:line="276" w:lineRule="auto"/>
              <w:ind/>
              <w:rPr>
                <w:sz w:val="24"/>
              </w:rPr>
            </w:pPr>
          </w:p>
          <w:p w14:paraId="72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(34385)99061, 99002</w:t>
            </w:r>
          </w:p>
          <w:p w14:paraId="73000000">
            <w:pPr>
              <w:spacing w:line="276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Бесплатный общефедеральный телефонный номер единого Контакт-центра – 8-800-222-22-22</w:t>
            </w:r>
          </w:p>
        </w:tc>
      </w:tr>
    </w:tbl>
    <w:p w14:paraId="74000000">
      <w:pPr>
        <w:ind w:firstLine="709"/>
        <w:contextualSpacing w:val="1"/>
        <w:jc w:val="center"/>
        <w:rPr>
          <w:sz w:val="24"/>
        </w:rPr>
      </w:pPr>
    </w:p>
    <w:p w14:paraId="75000000">
      <w:pPr>
        <w:ind w:firstLine="709"/>
        <w:contextualSpacing w:val="1"/>
        <w:jc w:val="center"/>
        <w:rPr>
          <w:sz w:val="24"/>
        </w:rPr>
      </w:pPr>
    </w:p>
    <w:p w14:paraId="76000000">
      <w:pPr>
        <w:ind/>
        <w:jc w:val="both"/>
        <w:rPr>
          <w:sz w:val="24"/>
        </w:rPr>
      </w:pPr>
    </w:p>
    <w:p w14:paraId="77000000">
      <w:pPr>
        <w:ind/>
        <w:jc w:val="both"/>
        <w:rPr>
          <w:sz w:val="24"/>
        </w:rPr>
      </w:pPr>
      <w:r>
        <w:rPr>
          <w:sz w:val="24"/>
        </w:rPr>
        <w:t>Заместитель</w:t>
      </w:r>
      <w:r>
        <w:rPr>
          <w:sz w:val="24"/>
        </w:rPr>
        <w:t xml:space="preserve"> начальника,</w:t>
      </w:r>
    </w:p>
    <w:p w14:paraId="78000000">
      <w:pPr>
        <w:ind/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14:paraId="79000000">
      <w:pPr>
        <w:ind/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</w:t>
      </w:r>
      <w:r>
        <w:rPr>
          <w:sz w:val="24"/>
        </w:rPr>
        <w:t xml:space="preserve">         </w:t>
      </w:r>
      <w:r>
        <w:rPr>
          <w:sz w:val="24"/>
        </w:rPr>
        <w:t xml:space="preserve">  А.А.Гринько</w:t>
      </w:r>
    </w:p>
    <w:p w14:paraId="7A000000">
      <w:pPr>
        <w:ind/>
        <w:contextualSpacing w:val="1"/>
        <w:jc w:val="both"/>
        <w:rPr>
          <w:sz w:val="18"/>
        </w:rPr>
      </w:pPr>
    </w:p>
    <w:p w14:paraId="7B000000">
      <w:pPr>
        <w:ind/>
        <w:contextualSpacing w:val="1"/>
        <w:jc w:val="both"/>
        <w:rPr>
          <w:sz w:val="18"/>
        </w:rPr>
      </w:pPr>
    </w:p>
    <w:p w14:paraId="7C000000">
      <w:pPr>
        <w:ind/>
        <w:contextualSpacing w:val="1"/>
        <w:jc w:val="both"/>
        <w:rPr>
          <w:sz w:val="18"/>
        </w:rPr>
      </w:pPr>
    </w:p>
    <w:p w14:paraId="7D000000">
      <w:pPr>
        <w:ind/>
        <w:contextualSpacing w:val="1"/>
        <w:jc w:val="both"/>
        <w:rPr>
          <w:sz w:val="18"/>
        </w:rPr>
      </w:pPr>
    </w:p>
    <w:p w14:paraId="7E000000">
      <w:pPr>
        <w:ind/>
        <w:contextualSpacing w:val="1"/>
        <w:jc w:val="both"/>
        <w:rPr>
          <w:sz w:val="18"/>
        </w:rPr>
      </w:pPr>
    </w:p>
    <w:p w14:paraId="7F000000">
      <w:pPr>
        <w:ind/>
        <w:contextualSpacing w:val="1"/>
        <w:jc w:val="both"/>
        <w:rPr>
          <w:sz w:val="18"/>
        </w:rPr>
      </w:pPr>
    </w:p>
    <w:p w14:paraId="80000000">
      <w:pPr>
        <w:ind/>
        <w:contextualSpacing w:val="1"/>
        <w:jc w:val="both"/>
      </w:pPr>
      <w:r>
        <w:rPr>
          <w:sz w:val="18"/>
        </w:rPr>
        <w:t xml:space="preserve">Козлова Оксана Леонидовна, </w:t>
      </w:r>
      <w:r>
        <w:rPr>
          <w:sz w:val="18"/>
        </w:rPr>
        <w:t xml:space="preserve"> </w:t>
      </w:r>
      <w:r>
        <w:rPr>
          <w:sz w:val="18"/>
        </w:rPr>
        <w:t>34385-9901</w:t>
      </w:r>
      <w:r>
        <w:rPr>
          <w:sz w:val="18"/>
        </w:rPr>
        <w:t>5</w:t>
      </w:r>
    </w:p>
    <w:sectPr>
      <w:pgSz w:h="16838" w:w="11906"/>
      <w:pgMar w:bottom="1134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Normal (Web)"/>
    <w:basedOn w:val="Style_4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4_ch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Default"/>
    <w:link w:val="Style_9_ch"/>
    <w:rPr>
      <w:color w:val="000000"/>
      <w:sz w:val="24"/>
    </w:rPr>
  </w:style>
  <w:style w:styleId="Style_9_ch" w:type="character">
    <w:name w:val="Default"/>
    <w:link w:val="Style_9"/>
    <w:rPr>
      <w:color w:val="000000"/>
      <w:sz w:val="24"/>
    </w:rPr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apple-converted-space"/>
    <w:basedOn w:val="Style_12"/>
    <w:link w:val="Style_11_ch"/>
  </w:style>
  <w:style w:styleId="Style_11_ch" w:type="character">
    <w:name w:val="apple-converted-space"/>
    <w:basedOn w:val="Style_12_ch"/>
    <w:link w:val="Style_11"/>
  </w:style>
  <w:style w:styleId="Style_13" w:type="paragraph">
    <w:name w:val="heading 3"/>
    <w:next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4" w:type="paragraph">
    <w:name w:val="p1"/>
    <w:basedOn w:val="Style_4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p1"/>
    <w:basedOn w:val="Style_4_ch"/>
    <w:link w:val="Style_14"/>
    <w:rPr>
      <w:sz w:val="24"/>
    </w:rPr>
  </w:style>
  <w:style w:styleId="Style_15" w:type="paragraph">
    <w:name w:val="Body Text Indent"/>
    <w:basedOn w:val="Style_4"/>
    <w:link w:val="Style_15_ch"/>
    <w:pPr>
      <w:spacing w:after="120"/>
      <w:ind w:firstLine="0" w:left="283"/>
    </w:pPr>
    <w:rPr>
      <w:sz w:val="24"/>
    </w:rPr>
  </w:style>
  <w:style w:styleId="Style_15_ch" w:type="character">
    <w:name w:val="Body Text Indent"/>
    <w:basedOn w:val="Style_4_ch"/>
    <w:link w:val="Style_15"/>
    <w:rPr>
      <w:sz w:val="24"/>
    </w:rPr>
  </w:style>
  <w:style w:styleId="Style_16" w:type="paragraph">
    <w:name w:val="A5"/>
    <w:link w:val="Style_16_ch"/>
    <w:rPr>
      <w:rFonts w:ascii="Minion Pro" w:hAnsi="Minion Pro"/>
      <w:b w:val="1"/>
      <w:color w:val="000000"/>
      <w:sz w:val="27"/>
    </w:rPr>
  </w:style>
  <w:style w:styleId="Style_16_ch" w:type="character">
    <w:name w:val="A5"/>
    <w:link w:val="Style_16"/>
    <w:rPr>
      <w:rFonts w:ascii="Minion Pro" w:hAnsi="Minion Pro"/>
      <w:b w:val="1"/>
      <w:color w:val="000000"/>
      <w:sz w:val="27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7" w:type="paragraph">
    <w:name w:val="phone"/>
    <w:link w:val="Style_17_ch"/>
  </w:style>
  <w:style w:styleId="Style_17_ch" w:type="character">
    <w:name w:val="phone"/>
    <w:link w:val="Style_17"/>
  </w:style>
  <w:style w:styleId="Style_18" w:type="paragraph">
    <w:name w:val="p4"/>
    <w:basedOn w:val="Style_4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p4"/>
    <w:basedOn w:val="Style_4_ch"/>
    <w:link w:val="Style_18"/>
    <w:rPr>
      <w:sz w:val="24"/>
    </w:rPr>
  </w:style>
  <w:style w:styleId="Style_19" w:type="paragraph">
    <w:name w:val="toc 3"/>
    <w:next w:val="Style_4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" w:type="paragraph">
    <w:name w:val="header"/>
    <w:basedOn w:val="Style_4"/>
    <w:link w:val="Style_2_ch"/>
    <w:pPr>
      <w:tabs>
        <w:tab w:leader="none" w:pos="4153" w:val="center"/>
        <w:tab w:leader="none" w:pos="8306" w:val="right"/>
      </w:tabs>
      <w:ind/>
    </w:pPr>
    <w:rPr>
      <w:sz w:val="24"/>
    </w:rPr>
  </w:style>
  <w:style w:styleId="Style_2_ch" w:type="character">
    <w:name w:val="header"/>
    <w:basedOn w:val="Style_4_ch"/>
    <w:link w:val="Style_2"/>
    <w:rPr>
      <w:sz w:val="24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any-ifns"/>
    <w:basedOn w:val="Style_12"/>
    <w:link w:val="Style_21_ch"/>
  </w:style>
  <w:style w:styleId="Style_21_ch" w:type="character">
    <w:name w:val="any-ifns"/>
    <w:basedOn w:val="Style_12_ch"/>
    <w:link w:val="Style_21"/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3_ch" w:type="character">
    <w:name w:val="heading 1"/>
    <w:basedOn w:val="Style_4_ch"/>
    <w:link w:val="Style_23"/>
    <w:rPr>
      <w:rFonts w:ascii="Cambria" w:hAnsi="Cambria"/>
      <w:b w:val="1"/>
      <w:sz w:val="32"/>
    </w:rPr>
  </w:style>
  <w:style w:styleId="Style_24" w:type="paragraph">
    <w:name w:val="Body Text Indent 3"/>
    <w:basedOn w:val="Style_4"/>
    <w:link w:val="Style_24_ch"/>
    <w:pPr>
      <w:ind w:firstLine="786" w:left="-426"/>
      <w:jc w:val="both"/>
    </w:pPr>
    <w:rPr>
      <w:sz w:val="24"/>
    </w:rPr>
  </w:style>
  <w:style w:styleId="Style_24_ch" w:type="character">
    <w:name w:val="Body Text Indent 3"/>
    <w:basedOn w:val="Style_4_ch"/>
    <w:link w:val="Style_24"/>
    <w:rPr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Emphasis"/>
    <w:link w:val="Style_27_ch"/>
    <w:rPr>
      <w:i w:val="1"/>
    </w:rPr>
  </w:style>
  <w:style w:styleId="Style_27_ch" w:type="character">
    <w:name w:val="Emphasis"/>
    <w:link w:val="Style_27"/>
    <w:rPr>
      <w:i w:val="1"/>
    </w:rPr>
  </w:style>
  <w:style w:styleId="Style_28" w:type="paragraph">
    <w:name w:val="toc 1"/>
    <w:next w:val="Style_4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A7"/>
    <w:link w:val="Style_29_ch"/>
    <w:rPr>
      <w:rFonts w:ascii="Minion Pro" w:hAnsi="Minion Pro"/>
      <w:i w:val="1"/>
      <w:color w:val="000000"/>
      <w:sz w:val="16"/>
    </w:rPr>
  </w:style>
  <w:style w:styleId="Style_29_ch" w:type="character">
    <w:name w:val="A7"/>
    <w:link w:val="Style_29"/>
    <w:rPr>
      <w:rFonts w:ascii="Minion Pro" w:hAnsi="Minion Pro"/>
      <w:i w:val="1"/>
      <w:color w:val="000000"/>
      <w:sz w:val="16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4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toc 8"/>
    <w:next w:val="Style_4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4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List Paragraph"/>
    <w:basedOn w:val="Style_4"/>
    <w:link w:val="Style_3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4_ch" w:type="character">
    <w:name w:val="List Paragraph"/>
    <w:basedOn w:val="Style_4_ch"/>
    <w:link w:val="Style_34"/>
    <w:rPr>
      <w:rFonts w:ascii="Calibri" w:hAnsi="Calibri"/>
      <w:sz w:val="22"/>
    </w:rPr>
  </w:style>
  <w:style w:styleId="Style_35" w:type="paragraph">
    <w:name w:val="to_top1"/>
    <w:basedOn w:val="Style_4"/>
    <w:link w:val="Style_35_ch"/>
    <w:rPr>
      <w:color w:val="0B6EB3"/>
      <w:sz w:val="24"/>
    </w:rPr>
  </w:style>
  <w:style w:styleId="Style_35_ch" w:type="character">
    <w:name w:val="to_top1"/>
    <w:basedOn w:val="Style_4_ch"/>
    <w:link w:val="Style_35"/>
    <w:rPr>
      <w:color w:val="0B6EB3"/>
      <w:sz w:val="24"/>
    </w:rPr>
  </w:style>
  <w:style w:styleId="Style_36" w:type="paragraph">
    <w:name w:val="Pa6"/>
    <w:basedOn w:val="Style_9"/>
    <w:next w:val="Style_9"/>
    <w:link w:val="Style_36_ch"/>
    <w:pPr>
      <w:spacing w:line="241" w:lineRule="atLeast"/>
      <w:ind/>
    </w:pPr>
    <w:rPr>
      <w:rFonts w:ascii="Minion Pro" w:hAnsi="Minion Pro"/>
      <w:color w:val="000000"/>
    </w:rPr>
  </w:style>
  <w:style w:styleId="Style_36_ch" w:type="character">
    <w:name w:val="Pa6"/>
    <w:basedOn w:val="Style_9_ch"/>
    <w:link w:val="Style_36"/>
    <w:rPr>
      <w:rFonts w:ascii="Minion Pro" w:hAnsi="Minion Pro"/>
      <w:color w:val="000000"/>
    </w:rPr>
  </w:style>
  <w:style w:styleId="Style_37" w:type="paragraph">
    <w:name w:val="bigger21"/>
    <w:basedOn w:val="Style_4"/>
    <w:link w:val="Style_37_ch"/>
    <w:pPr>
      <w:spacing w:after="195" w:before="195" w:line="312" w:lineRule="atLeast"/>
      <w:ind/>
    </w:pPr>
    <w:rPr>
      <w:sz w:val="31"/>
    </w:rPr>
  </w:style>
  <w:style w:styleId="Style_37_ch" w:type="character">
    <w:name w:val="bigger21"/>
    <w:basedOn w:val="Style_4_ch"/>
    <w:link w:val="Style_37"/>
    <w:rPr>
      <w:sz w:val="31"/>
    </w:rPr>
  </w:style>
  <w:style w:styleId="Style_38" w:type="paragraph">
    <w:name w:val="caption"/>
    <w:basedOn w:val="Style_4"/>
    <w:next w:val="Style_4"/>
    <w:link w:val="Style_38_ch"/>
    <w:pPr>
      <w:spacing w:after="240" w:before="120"/>
      <w:ind/>
      <w:jc w:val="center"/>
    </w:pPr>
    <w:rPr>
      <w:b w:val="1"/>
      <w:sz w:val="24"/>
    </w:rPr>
  </w:style>
  <w:style w:styleId="Style_38_ch" w:type="character">
    <w:name w:val="caption"/>
    <w:basedOn w:val="Style_4_ch"/>
    <w:link w:val="Style_38"/>
    <w:rPr>
      <w:b w:val="1"/>
      <w:sz w:val="24"/>
    </w:rPr>
  </w:style>
  <w:style w:styleId="Style_39" w:type="paragraph">
    <w:name w:val="Body Text"/>
    <w:basedOn w:val="Style_4"/>
    <w:link w:val="Style_39_ch"/>
    <w:pPr>
      <w:spacing w:after="120"/>
      <w:ind/>
    </w:pPr>
  </w:style>
  <w:style w:styleId="Style_39_ch" w:type="character">
    <w:name w:val="Body Text"/>
    <w:basedOn w:val="Style_4_ch"/>
    <w:link w:val="Style_39"/>
  </w:style>
  <w:style w:styleId="Style_40" w:type="paragraph">
    <w:name w:val="Subtitle"/>
    <w:next w:val="Style_4"/>
    <w:link w:val="Style_40_ch"/>
    <w:uiPriority w:val="11"/>
    <w:qFormat/>
    <w:rPr>
      <w:rFonts w:ascii="XO Thames" w:hAnsi="XO Thames"/>
      <w:i w:val="1"/>
      <w:color w:val="616161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616161"/>
      <w:sz w:val="24"/>
    </w:rPr>
  </w:style>
  <w:style w:styleId="Style_41" w:type="paragraph">
    <w:name w:val="toc 10"/>
    <w:next w:val="Style_4"/>
    <w:link w:val="Style_41_ch"/>
    <w:uiPriority w:val="39"/>
    <w:pPr>
      <w:ind w:firstLine="0" w:left="1800"/>
    </w:pPr>
  </w:style>
  <w:style w:styleId="Style_41_ch" w:type="character">
    <w:name w:val="toc 10"/>
    <w:link w:val="Style_41"/>
  </w:style>
  <w:style w:styleId="Style_42" w:type="paragraph">
    <w:name w:val="Title"/>
    <w:next w:val="Style_4"/>
    <w:link w:val="Style_42_ch"/>
    <w:uiPriority w:val="10"/>
    <w:qFormat/>
    <w:rPr>
      <w:rFonts w:ascii="XO Thames" w:hAnsi="XO Thames"/>
      <w:b w:val="1"/>
      <w:sz w:val="52"/>
    </w:rPr>
  </w:style>
  <w:style w:styleId="Style_42_ch" w:type="character">
    <w:name w:val="Title"/>
    <w:link w:val="Style_42"/>
    <w:rPr>
      <w:rFonts w:ascii="XO Thames" w:hAnsi="XO Thames"/>
      <w:b w:val="1"/>
      <w:sz w:val="52"/>
    </w:rPr>
  </w:style>
  <w:style w:styleId="Style_43" w:type="paragraph">
    <w:name w:val="heading 4"/>
    <w:basedOn w:val="Style_4"/>
    <w:next w:val="Style_4"/>
    <w:link w:val="Style_43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43_ch" w:type="character">
    <w:name w:val="heading 4"/>
    <w:basedOn w:val="Style_4_ch"/>
    <w:link w:val="Style_43"/>
    <w:rPr>
      <w:b w:val="1"/>
      <w:sz w:val="16"/>
    </w:rPr>
  </w:style>
  <w:style w:styleId="Style_44" w:type="paragraph">
    <w:name w:val="Font Style19"/>
    <w:link w:val="Style_44_ch"/>
    <w:rPr>
      <w:rFonts w:ascii="Times New Roman" w:hAnsi="Times New Roman"/>
      <w:sz w:val="26"/>
    </w:rPr>
  </w:style>
  <w:style w:styleId="Style_44_ch" w:type="character">
    <w:name w:val="Font Style19"/>
    <w:link w:val="Style_44"/>
    <w:rPr>
      <w:rFonts w:ascii="Times New Roman" w:hAnsi="Times New Roman"/>
      <w:sz w:val="26"/>
    </w:rPr>
  </w:style>
  <w:style w:styleId="Style_45" w:type="paragraph">
    <w:name w:val="Balloon Text"/>
    <w:basedOn w:val="Style_4"/>
    <w:link w:val="Style_45_ch"/>
    <w:rPr>
      <w:rFonts w:ascii="Tahoma" w:hAnsi="Tahoma"/>
      <w:sz w:val="16"/>
    </w:rPr>
  </w:style>
  <w:style w:styleId="Style_45_ch" w:type="character">
    <w:name w:val="Balloon Text"/>
    <w:basedOn w:val="Style_4_ch"/>
    <w:link w:val="Style_45"/>
    <w:rPr>
      <w:rFonts w:ascii="Tahoma" w:hAnsi="Tahoma"/>
      <w:sz w:val="16"/>
    </w:rPr>
  </w:style>
  <w:style w:styleId="Style_46" w:type="paragraph">
    <w:name w:val="heading 2"/>
    <w:basedOn w:val="Style_4"/>
    <w:next w:val="Style_4"/>
    <w:link w:val="Style_46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</w:rPr>
  </w:style>
  <w:style w:styleId="Style_46_ch" w:type="character">
    <w:name w:val="heading 2"/>
    <w:basedOn w:val="Style_4_ch"/>
    <w:link w:val="Style_46"/>
    <w:rPr>
      <w:rFonts w:ascii="Arial" w:hAnsi="Arial"/>
      <w:b w:val="1"/>
      <w:i w:val="1"/>
    </w:rPr>
  </w:style>
  <w:style w:styleId="Style_47" w:type="paragraph">
    <w:name w:val="Pa0"/>
    <w:basedOn w:val="Style_9"/>
    <w:next w:val="Style_9"/>
    <w:link w:val="Style_47_ch"/>
    <w:pPr>
      <w:spacing w:line="241" w:lineRule="atLeast"/>
      <w:ind/>
    </w:pPr>
    <w:rPr>
      <w:rFonts w:ascii="Minion Pro" w:hAnsi="Minion Pro"/>
      <w:color w:val="000000"/>
    </w:rPr>
  </w:style>
  <w:style w:styleId="Style_47_ch" w:type="character">
    <w:name w:val="Pa0"/>
    <w:basedOn w:val="Style_9_ch"/>
    <w:link w:val="Style_47"/>
    <w:rPr>
      <w:rFonts w:ascii="Minion Pro" w:hAnsi="Minion Pro"/>
      <w:color w:val="000000"/>
    </w:rPr>
  </w:style>
  <w:style w:styleId="Style_48" w:type="paragraph">
    <w:name w:val=" Знак Знак Знак Знак"/>
    <w:basedOn w:val="Style_4"/>
    <w:link w:val="Style_48_ch"/>
    <w:pPr>
      <w:spacing w:after="160" w:line="240" w:lineRule="exact"/>
      <w:ind/>
    </w:pPr>
    <w:rPr>
      <w:rFonts w:ascii="Verdana" w:hAnsi="Verdana"/>
      <w:sz w:val="24"/>
    </w:rPr>
  </w:style>
  <w:style w:styleId="Style_48_ch" w:type="character">
    <w:name w:val=" Знак Знак Знак Знак"/>
    <w:basedOn w:val="Style_4_ch"/>
    <w:link w:val="Style_48"/>
    <w:rPr>
      <w:rFonts w:ascii="Verdana" w:hAnsi="Verdana"/>
      <w:sz w:val="24"/>
    </w:rPr>
  </w:style>
  <w:style w:styleId="Style_49" w:type="paragraph">
    <w:name w:val="aster"/>
    <w:basedOn w:val="Style_12"/>
    <w:link w:val="Style_49_ch"/>
  </w:style>
  <w:style w:styleId="Style_49_ch" w:type="character">
    <w:name w:val="aster"/>
    <w:basedOn w:val="Style_12_ch"/>
    <w:link w:val="Style_49"/>
  </w:style>
  <w:style w:styleId="Style_5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