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12 480 650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255 359 300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4,9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 536 728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областного бюджета составили–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  из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7 959 000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3375 775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от норматива 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за январь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401,1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доходной части бюджета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Гаринского городского округа по состоянию на 01.</w:t>
      </w:r>
      <w:r w:rsidR="00B148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02</w:t>
      </w: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(исполнение собственных доходов должно быть не ниже   </w:t>
      </w:r>
      <w:r w:rsidR="00B1487A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6,6</w:t>
      </w: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%)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классификации </w:t>
            </w:r>
          </w:p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средств по решению о бюджете</w:t>
            </w:r>
          </w:p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 2020г. </w:t>
            </w:r>
          </w:p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Web"/>
              <w:spacing w:before="0" w:after="0" w:line="256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/ рост к 2019 г.</w:t>
            </w:r>
          </w:p>
        </w:tc>
      </w:tr>
      <w:tr w:rsidR="00A15BBD" w:rsidTr="00A15BB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НАЛОГОВЫЕ И НЕНАЛОГОВЫЕ ДОХОДЫ</w:t>
            </w:r>
          </w:p>
          <w:p w:rsidR="00A15BBD" w:rsidRDefault="00A15BB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47 509 400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3 536 728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-18,7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2 820 495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-30,8</w:t>
            </w:r>
          </w:p>
        </w:tc>
      </w:tr>
      <w:tr w:rsidR="00A15BBD" w:rsidTr="00A15BB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 w:rsidP="00A15B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  <w:p w:rsidR="00A15BBD" w:rsidRDefault="00A15BBD" w:rsidP="00A15B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2 257 190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-36,6</w:t>
            </w:r>
          </w:p>
        </w:tc>
      </w:tr>
      <w:tr w:rsidR="00A15BBD" w:rsidTr="00A15BB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4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4" w:lineRule="auto"/>
              <w:jc w:val="right"/>
              <w:rPr>
                <w:sz w:val="20"/>
              </w:rPr>
            </w:pPr>
            <w:r>
              <w:rPr>
                <w:sz w:val="20"/>
              </w:rPr>
              <w:t>44 831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4" w:lineRule="auto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-11,9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474 205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+21,4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959 000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36 060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-39,6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8 209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-48,8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15BBD" w:rsidRDefault="00A15BBD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BBD" w:rsidRDefault="00A15BBD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716 233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+162,3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c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96 713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-61,7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110 109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5 146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2 950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-45,4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spacing w:line="256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8 943 922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+45,5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spacing w:line="25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000 2 02 00000 00 0000 000</w:t>
            </w:r>
          </w:p>
          <w:p w:rsidR="00A15BBD" w:rsidRDefault="00A15BBD">
            <w:pPr>
              <w:spacing w:line="25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color w:val="000000" w:themeColor="text1"/>
                <w:sz w:val="19"/>
                <w:szCs w:val="19"/>
                <w:lang w:val="ru-RU"/>
              </w:rPr>
            </w:pPr>
            <w:r>
              <w:rPr>
                <w:color w:val="000000" w:themeColor="text1"/>
                <w:sz w:val="19"/>
                <w:szCs w:val="19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Cs/>
                <w:color w:val="000000" w:themeColor="text1"/>
                <w:sz w:val="20"/>
                <w:szCs w:val="24"/>
              </w:rPr>
            </w:pPr>
            <w:r>
              <w:rPr>
                <w:bCs/>
                <w:color w:val="000000" w:themeColor="text1"/>
                <w:sz w:val="20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11 334 775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+56,4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Дотации</w:t>
            </w:r>
            <w:r>
              <w:rPr>
                <w:color w:val="000000" w:themeColor="text1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>
              <w:rPr>
                <w:bCs/>
                <w:color w:val="000000" w:themeColor="text1"/>
                <w:sz w:val="20"/>
                <w:szCs w:val="20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000 2 02 15002 04 0000 150</w:t>
            </w:r>
          </w:p>
          <w:p w:rsidR="00A15BBD" w:rsidRDefault="00A15BBD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a"/>
              <w:keepNext w:val="0"/>
              <w:keepLines w:val="0"/>
              <w:numPr>
                <w:ilvl w:val="0"/>
                <w:numId w:val="3"/>
              </w:numPr>
              <w:tabs>
                <w:tab w:val="clear" w:pos="0"/>
                <w:tab w:val="left" w:pos="708"/>
              </w:tabs>
              <w:spacing w:before="0"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Субсидии</w:t>
            </w:r>
            <w:r>
              <w:rPr>
                <w:color w:val="000000" w:themeColor="text1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000 2 02 30000 00 0000 151</w:t>
            </w:r>
          </w:p>
          <w:p w:rsidR="00A15BBD" w:rsidRDefault="00A15BBD">
            <w:pPr>
              <w:spacing w:line="256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Субвенции </w:t>
            </w:r>
            <w:r>
              <w:rPr>
                <w:color w:val="000000" w:themeColor="text1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</w:rPr>
              <w:t>48 444 300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3 375 775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+85,5</w:t>
            </w:r>
          </w:p>
        </w:tc>
      </w:tr>
      <w:tr w:rsidR="00A15BBD" w:rsidTr="00A1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ind w:right="-108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000 2 02 30022 00 0000 151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A15BBD" w:rsidTr="00A15BB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8 131 700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2 330 480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+49,2</w:t>
            </w:r>
          </w:p>
        </w:tc>
      </w:tr>
      <w:tr w:rsidR="00A15BBD" w:rsidTr="00A15B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19 265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-68,7</w:t>
            </w:r>
          </w:p>
        </w:tc>
      </w:tr>
      <w:tr w:rsidR="00A15BBD" w:rsidTr="00A15BB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000 2 02 35120 00 0000 151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000 2 02 35250 00 0000 151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1 030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-99,5</w:t>
            </w:r>
          </w:p>
        </w:tc>
      </w:tr>
      <w:tr w:rsidR="00A15BBD" w:rsidTr="00A15BB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000 2 02 39999 00 0000 151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rFonts w:eastAsia="Times New Roman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38 923 000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1 025 000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5BBD" w:rsidTr="00A15BB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rFonts w:eastAsia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+116,6</w:t>
            </w:r>
          </w:p>
        </w:tc>
      </w:tr>
      <w:tr w:rsidR="00A15BBD" w:rsidTr="00A15BBD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 w:rsidP="00A15BBD">
            <w:pPr>
              <w:pStyle w:val="a7"/>
              <w:numPr>
                <w:ilvl w:val="0"/>
                <w:numId w:val="3"/>
              </w:numPr>
              <w:spacing w:after="0" w:line="256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D" w:rsidRDefault="00A15BBD">
            <w:pPr>
              <w:spacing w:line="256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pStyle w:val="1"/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255 359 300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12 480 650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D" w:rsidRDefault="00A15BBD">
            <w:pPr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+18,9</w:t>
            </w:r>
          </w:p>
        </w:tc>
      </w:tr>
    </w:tbl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 w:themeColor="text1"/>
        </w:rPr>
        <w:t xml:space="preserve">              </w:t>
      </w:r>
      <w:r w:rsidRPr="00A15BBD">
        <w:rPr>
          <w:rFonts w:ascii="Times New Roman" w:hAnsi="Times New Roman" w:cs="Times New Roman"/>
          <w:b/>
          <w:sz w:val="20"/>
          <w:szCs w:val="20"/>
        </w:rPr>
        <w:t>НАЛОГИ НА ДОХОДЫ ФИЗИЧЕСКИХ ЛИЦ</w:t>
      </w:r>
      <w:r w:rsidRPr="00A15BBD">
        <w:rPr>
          <w:rFonts w:ascii="Times New Roman" w:hAnsi="Times New Roman" w:cs="Times New Roman"/>
          <w:sz w:val="20"/>
          <w:szCs w:val="20"/>
        </w:rPr>
        <w:t xml:space="preserve"> (5,8%) -  невыполнение плановых показателей связано с уменьшение норматива зачисления НДФЛ в бюджет.</w:t>
      </w:r>
    </w:p>
    <w:p w:rsid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НАЛОГИ НА ТОВАРЫ (РАБОТЫ, УСЛУГИ), РЕАЛИЗУЕМЫЕ НА ТЕРРИТОРИИ РОССИЙСКОЙ ФЕДЕРАЦИИ (Акцизы) </w:t>
      </w:r>
      <w:r w:rsidRPr="00A15BBD">
        <w:rPr>
          <w:rFonts w:ascii="Times New Roman" w:hAnsi="Times New Roman" w:cs="Times New Roman"/>
          <w:sz w:val="20"/>
          <w:szCs w:val="20"/>
        </w:rPr>
        <w:t>(7,8%) - плановые показатели по акцизам на нефтепродукты выполнены.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5BB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sz w:val="20"/>
          <w:szCs w:val="20"/>
        </w:rPr>
        <w:t xml:space="preserve">    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  НАЛОГИ НА СОВОКУПНЫЙ ДОХОД</w:t>
      </w:r>
      <w:r w:rsidRPr="00A15BBD">
        <w:rPr>
          <w:rFonts w:ascii="Times New Roman" w:hAnsi="Times New Roman" w:cs="Times New Roman"/>
          <w:sz w:val="20"/>
          <w:szCs w:val="20"/>
        </w:rPr>
        <w:t xml:space="preserve"> (18,2%) - перевыполнение плановых показателей по ЕНВД и УСН произведена уплатой налога налогоплательщиками за 4 квартал 2019 года в январе 2020г.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5BBD">
        <w:rPr>
          <w:rFonts w:ascii="Times New Roman" w:hAnsi="Times New Roman" w:cs="Times New Roman"/>
          <w:b/>
          <w:sz w:val="20"/>
          <w:szCs w:val="20"/>
        </w:rPr>
        <w:t xml:space="preserve">     НАЛОГИ НА ИМУЩЕСТВО </w:t>
      </w:r>
      <w:r w:rsidRPr="00A15BBD">
        <w:rPr>
          <w:rFonts w:ascii="Times New Roman" w:hAnsi="Times New Roman" w:cs="Times New Roman"/>
          <w:sz w:val="20"/>
          <w:szCs w:val="20"/>
        </w:rPr>
        <w:t xml:space="preserve">(3,8 %) - неисполнение плановых показателей связано с тем, что срок уплаты налога на имущество и земельного налога физических лиц до 01декабря 2020 года.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b/>
          <w:sz w:val="20"/>
          <w:szCs w:val="20"/>
        </w:rPr>
        <w:t xml:space="preserve">    ГОСУДАРСТВЕННАЯ ПОШЛИНА </w:t>
      </w:r>
      <w:r w:rsidRPr="00A15BBD">
        <w:rPr>
          <w:rFonts w:ascii="Times New Roman" w:hAnsi="Times New Roman" w:cs="Times New Roman"/>
          <w:sz w:val="20"/>
          <w:szCs w:val="20"/>
        </w:rPr>
        <w:t>(3,4%) – неисполнение плановых показателей по госпошлине произошло в связи уменьшение</w:t>
      </w:r>
      <w:bookmarkStart w:id="0" w:name="_GoBack"/>
      <w:bookmarkEnd w:id="0"/>
      <w:r w:rsidRPr="00A15BBD">
        <w:rPr>
          <w:rFonts w:ascii="Times New Roman" w:hAnsi="Times New Roman" w:cs="Times New Roman"/>
          <w:sz w:val="20"/>
          <w:szCs w:val="20"/>
        </w:rPr>
        <w:t>м обращений юридических и физических лиц в судебные органы, инстанции требующие уплаты госпошлины.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b/>
          <w:sz w:val="20"/>
          <w:szCs w:val="20"/>
        </w:rPr>
        <w:t xml:space="preserve">      ДОХОДЫ ОТ ИСПОЛЬЗОВАНИЯ ИМУЩЕСТВА</w:t>
      </w:r>
      <w:r w:rsidRPr="00A15BBD">
        <w:rPr>
          <w:rFonts w:ascii="Times New Roman" w:hAnsi="Times New Roman" w:cs="Times New Roman"/>
          <w:sz w:val="20"/>
          <w:szCs w:val="20"/>
        </w:rPr>
        <w:t xml:space="preserve"> (3,7%) – неисполнение плановых показателей связано с неуплатой текущих платежей.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ПЛАТЕЖИ ПРИ ПОЛЬЗОВАНИИ ПРИРОДНЫМИ РЕСУРСАМИ </w:t>
      </w:r>
      <w:r w:rsidRPr="00A15BBD">
        <w:rPr>
          <w:rFonts w:ascii="Times New Roman" w:hAnsi="Times New Roman" w:cs="Times New Roman"/>
          <w:sz w:val="20"/>
          <w:szCs w:val="20"/>
        </w:rPr>
        <w:t>(0%) неисполнение плановых показателей связано с тем, что срок уплаты сбора за негативное воздействие на окружающую среду до 01 марта 2020 года.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sz w:val="20"/>
          <w:szCs w:val="20"/>
        </w:rPr>
        <w:t xml:space="preserve">    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  ДОХОДЫ ОТ ОКАЗАНИЯ ПЛАТНЫХ УСЛУГ (РАБОТ)</w:t>
      </w:r>
      <w:r w:rsidRPr="00A15BBD">
        <w:rPr>
          <w:rFonts w:ascii="Times New Roman" w:hAnsi="Times New Roman" w:cs="Times New Roman"/>
          <w:sz w:val="20"/>
          <w:szCs w:val="20"/>
        </w:rPr>
        <w:t xml:space="preserve"> (8,1%) - плановые показатели части платы за питание учащихся в общеобразовательных школах выполнены.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5BB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5BBD">
        <w:rPr>
          <w:rFonts w:ascii="Times New Roman" w:hAnsi="Times New Roman" w:cs="Times New Roman"/>
          <w:sz w:val="20"/>
          <w:szCs w:val="20"/>
        </w:rPr>
        <w:t xml:space="preserve">     </w:t>
      </w:r>
      <w:r w:rsidRPr="00A15BBD">
        <w:rPr>
          <w:rFonts w:ascii="Times New Roman" w:hAnsi="Times New Roman" w:cs="Times New Roman"/>
          <w:b/>
          <w:sz w:val="20"/>
          <w:szCs w:val="20"/>
        </w:rPr>
        <w:t>ДОХОДЫ ОТ ПРОДАЖИ МАТЕРИАЛЬНЫХ И НЕМАТЕРИАЛЬНЫХ АКТИВОВ</w:t>
      </w:r>
      <w:r w:rsidRPr="00A15BBD">
        <w:rPr>
          <w:rFonts w:ascii="Times New Roman" w:hAnsi="Times New Roman" w:cs="Times New Roman"/>
          <w:sz w:val="20"/>
          <w:szCs w:val="20"/>
        </w:rPr>
        <w:t xml:space="preserve"> (10,3%) - плановые показатели по данному доходу выполнены.</w:t>
      </w:r>
      <w:r w:rsidRPr="00A15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5BB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b/>
          <w:sz w:val="20"/>
          <w:szCs w:val="20"/>
        </w:rPr>
        <w:t xml:space="preserve">     ШТРАФЫ, САНКЦИИ, ВОЗМЕЩЕНИЕ УЩЕРБА </w:t>
      </w:r>
      <w:r w:rsidRPr="00A15BBD">
        <w:rPr>
          <w:rFonts w:ascii="Times New Roman" w:hAnsi="Times New Roman" w:cs="Times New Roman"/>
          <w:sz w:val="20"/>
          <w:szCs w:val="20"/>
        </w:rPr>
        <w:t xml:space="preserve">(18,2%) перевыполнение плановых показателей по штрафам произошло в связи с увеличением количества уплаченных штрафов за нарушение действующего законодательства.    </w:t>
      </w:r>
    </w:p>
    <w:p w:rsidR="00A15BBD" w:rsidRPr="00A15BBD" w:rsidRDefault="00A15BBD" w:rsidP="00A15BBD">
      <w:pPr>
        <w:jc w:val="both"/>
        <w:rPr>
          <w:rFonts w:ascii="Times New Roman" w:hAnsi="Times New Roman" w:cs="Times New Roman"/>
          <w:sz w:val="20"/>
          <w:szCs w:val="20"/>
        </w:rPr>
      </w:pPr>
      <w:r w:rsidRPr="00A15BBD">
        <w:rPr>
          <w:rFonts w:ascii="Times New Roman" w:hAnsi="Times New Roman" w:cs="Times New Roman"/>
          <w:sz w:val="20"/>
          <w:szCs w:val="20"/>
        </w:rPr>
        <w:t xml:space="preserve">     </w:t>
      </w:r>
      <w:r w:rsidRPr="00A15BBD">
        <w:rPr>
          <w:rFonts w:ascii="Times New Roman" w:hAnsi="Times New Roman" w:cs="Times New Roman"/>
          <w:b/>
          <w:sz w:val="20"/>
          <w:szCs w:val="20"/>
        </w:rPr>
        <w:t>ПРОЧИЕ НЕНАЛОГОВЫЕ ДОХОДЫ</w:t>
      </w:r>
      <w:r w:rsidRPr="00A15BBD">
        <w:rPr>
          <w:rFonts w:ascii="Times New Roman" w:hAnsi="Times New Roman" w:cs="Times New Roman"/>
          <w:sz w:val="20"/>
          <w:szCs w:val="20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</w:t>
      </w: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</w:p>
    <w:p w:rsidR="00B1487A" w:rsidRPr="00645CFF" w:rsidRDefault="00B1487A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 w:rsidRPr="00645CFF">
        <w:rPr>
          <w:b/>
          <w:szCs w:val="28"/>
        </w:rPr>
        <w:t>РАСХОДЫ</w:t>
      </w:r>
    </w:p>
    <w:p w:rsidR="00B1487A" w:rsidRPr="00E9783E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rStyle w:val="hl41"/>
          <w:bCs w:val="0"/>
          <w:szCs w:val="28"/>
        </w:rPr>
      </w:pPr>
    </w:p>
    <w:p w:rsidR="00B1487A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01.02.2020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10 866 468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 xml:space="preserve">257 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 xml:space="preserve">ов 349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950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4,2</w:t>
      </w:r>
      <w:proofErr w:type="gramStart"/>
      <w:r>
        <w:rPr>
          <w:i w:val="0"/>
          <w:sz w:val="28"/>
          <w:szCs w:val="28"/>
        </w:rPr>
        <w:t xml:space="preserve">% </w:t>
      </w:r>
      <w:r w:rsidRPr="00DC744A">
        <w:rPr>
          <w:i w:val="0"/>
          <w:sz w:val="28"/>
          <w:szCs w:val="28"/>
        </w:rPr>
        <w:t>.</w:t>
      </w:r>
      <w:proofErr w:type="gramEnd"/>
      <w:r w:rsidRPr="00DC744A">
        <w:rPr>
          <w:i w:val="0"/>
          <w:sz w:val="28"/>
          <w:szCs w:val="28"/>
        </w:rPr>
        <w:t xml:space="preserve">  </w:t>
      </w:r>
      <w:r w:rsidRPr="00DC74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9857" w:type="dxa"/>
        <w:tblLook w:val="04A0" w:firstRow="1" w:lastRow="0" w:firstColumn="1" w:lastColumn="0" w:noHBand="0" w:noVBand="1"/>
      </w:tblPr>
      <w:tblGrid>
        <w:gridCol w:w="4180"/>
        <w:gridCol w:w="800"/>
        <w:gridCol w:w="1900"/>
        <w:gridCol w:w="1625"/>
        <w:gridCol w:w="1352"/>
      </w:tblGrid>
      <w:tr w:rsidR="003D1C24" w:rsidRPr="003D1C24" w:rsidTr="00B1487A">
        <w:trPr>
          <w:trHeight w:val="319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расходов  по</w:t>
            </w:r>
            <w:proofErr w:type="gramEnd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разделам бюджета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B1487A">
        <w:trPr>
          <w:trHeight w:val="31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31.01.2020г.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B1487A">
        <w:trPr>
          <w:trHeight w:val="255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3D1C24" w:rsidRPr="003D1C24" w:rsidTr="00B1487A">
        <w:trPr>
          <w:trHeight w:val="525"/>
        </w:trPr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3D1C24" w:rsidRPr="003D1C24" w:rsidTr="00B1487A">
        <w:trPr>
          <w:trHeight w:val="450"/>
        </w:trPr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B1487A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муниципальгого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119 395,64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7,86%</w:t>
            </w:r>
          </w:p>
        </w:tc>
      </w:tr>
      <w:tr w:rsidR="003D1C24" w:rsidRPr="003D1C24" w:rsidTr="00B1487A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ипредставительных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149 811,82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7,05%</w:t>
            </w:r>
          </w:p>
        </w:tc>
      </w:tr>
      <w:tr w:rsidR="003D1C24" w:rsidRPr="003D1C24" w:rsidTr="00B1487A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19 489 453,00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1 397 125,94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7,17%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731 866,90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8,05%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5 812 475,00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7 671 700,00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600 955,73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7,83%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19 265,10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8,12%</w:t>
            </w:r>
          </w:p>
        </w:tc>
      </w:tr>
      <w:tr w:rsidR="003D1C24" w:rsidRPr="003D1C24" w:rsidTr="00B1487A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характера,гражданская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511 202,54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7,14%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3 051 000,00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13 918 800,00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B1487A" w:rsidP="00B14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1C24"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13,63%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60 062 200,00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901 402,26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1,50%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18 730 080,00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156 824,00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0,84%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10 242 800,00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744 115,49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7,26%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27 181 000,00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2 100 233,52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7,73%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4 502 558,00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354 321,60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7,87%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8 250 536,00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5 685,53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1 128 700,00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40 262,31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3,57%</w:t>
            </w:r>
          </w:p>
        </w:tc>
      </w:tr>
      <w:tr w:rsidR="003D1C24" w:rsidRPr="003D1C24" w:rsidTr="00B1487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B1487A">
        <w:trPr>
          <w:trHeight w:val="255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257 349 950,00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10 866 468,38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</w:tbl>
    <w:p w:rsidR="003D1C24" w:rsidRDefault="003D1C24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724"/>
        <w:gridCol w:w="969"/>
      </w:tblGrid>
      <w:tr w:rsidR="003D1C24" w:rsidRPr="003D1C24" w:rsidTr="009745BE">
        <w:trPr>
          <w:trHeight w:val="319"/>
        </w:trPr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9745BE">
        <w:trPr>
          <w:trHeight w:val="315"/>
        </w:trPr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31.01.2020г.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9745BE">
        <w:trPr>
          <w:trHeight w:val="2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3D1C24" w:rsidRPr="003D1C24" w:rsidTr="009745BE">
        <w:trPr>
          <w:trHeight w:val="52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3D1C24" w:rsidRPr="003D1C24" w:rsidTr="009745BE">
        <w:trPr>
          <w:trHeight w:val="45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9745BE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 в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39 434 660,00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1 812 570,78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4,60%</w:t>
            </w:r>
          </w:p>
        </w:tc>
      </w:tr>
      <w:tr w:rsidR="003D1C24" w:rsidRPr="003D1C24" w:rsidTr="009745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33 622 185,00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1 812 570,78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5,40%</w:t>
            </w:r>
          </w:p>
        </w:tc>
      </w:tr>
      <w:tr w:rsidR="003D1C24" w:rsidRPr="003D1C24" w:rsidTr="009745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5 812 475,00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Учреждение: ДУМА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2 580 126,00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187 325,52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7,26%</w:t>
            </w:r>
          </w:p>
        </w:tc>
      </w:tr>
      <w:tr w:rsidR="003D1C24" w:rsidRPr="003D1C24" w:rsidTr="009745BE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2 407 525,00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114 030,83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4,74%</w:t>
            </w:r>
          </w:p>
        </w:tc>
      </w:tr>
      <w:tr w:rsidR="003D1C24" w:rsidRPr="003D1C24" w:rsidTr="009745BE">
        <w:trPr>
          <w:trHeight w:val="77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Андрюшинская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10 855 192,00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120 072,66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1,11%</w:t>
            </w:r>
          </w:p>
        </w:tc>
      </w:tr>
      <w:tr w:rsidR="003D1C24" w:rsidRPr="003D1C24" w:rsidTr="009745B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51 672 564,00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783 047,10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1,52%</w:t>
            </w:r>
          </w:p>
        </w:tc>
      </w:tr>
      <w:tr w:rsidR="003D1C24" w:rsidRPr="003D1C24" w:rsidTr="009745B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Пуксинская</w:t>
            </w:r>
            <w:proofErr w:type="spell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87 044,00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-1 717,50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-1,97%</w:t>
            </w:r>
          </w:p>
        </w:tc>
      </w:tr>
      <w:tr w:rsidR="003D1C24" w:rsidRPr="003D1C24" w:rsidTr="009745B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</w:t>
            </w:r>
            <w:proofErr w:type="gramStart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511 202,54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7,14%</w:t>
            </w:r>
          </w:p>
        </w:tc>
      </w:tr>
      <w:tr w:rsidR="003D1C24" w:rsidRPr="003D1C24" w:rsidTr="009745B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48 911 911,00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640 255,81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1,31%</w:t>
            </w:r>
          </w:p>
        </w:tc>
      </w:tr>
      <w:tr w:rsidR="003D1C24" w:rsidRPr="003D1C24" w:rsidTr="009745B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33 021 868,00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3 808 838,15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11,53%</w:t>
            </w:r>
          </w:p>
        </w:tc>
      </w:tr>
      <w:tr w:rsidR="003D1C24" w:rsidRPr="003D1C24" w:rsidTr="009745B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18 730 080,00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156 824,00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0,84%</w:t>
            </w:r>
          </w:p>
        </w:tc>
      </w:tr>
      <w:tr w:rsidR="003D1C24" w:rsidRPr="003D1C24" w:rsidTr="009745B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34 617 500,00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2 100 233,52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6,07%</w:t>
            </w:r>
          </w:p>
        </w:tc>
      </w:tr>
      <w:tr w:rsidR="003D1C24" w:rsidRPr="003D1C24" w:rsidTr="009745B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7 873 480,00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633 784,97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8,05%</w:t>
            </w:r>
          </w:p>
        </w:tc>
      </w:tr>
      <w:tr w:rsidR="003D1C24" w:rsidRPr="003D1C24" w:rsidTr="00A6696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257 349 950,00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10 866 468,38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A66965" w:rsidRPr="003D1C24" w:rsidTr="00A6696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965" w:rsidRPr="003D1C24" w:rsidRDefault="00A66965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6965" w:rsidRPr="003D1C24" w:rsidTr="009745B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965" w:rsidRPr="003D1C24" w:rsidRDefault="00A66965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A66965" w:rsidRPr="003D1C24" w:rsidRDefault="00A66965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01.02.2020 года отсутс</w:t>
      </w:r>
      <w:r w:rsidR="00CA40F9">
        <w:t>т</w:t>
      </w:r>
      <w:r>
        <w:t>вует.</w:t>
      </w:r>
    </w:p>
    <w:p w:rsidR="003D1C24" w:rsidRDefault="009745BE">
      <w:proofErr w:type="gramStart"/>
      <w:r>
        <w:t>Примечание :</w:t>
      </w:r>
      <w:proofErr w:type="gramEnd"/>
      <w:r>
        <w:t xml:space="preserve"> По МКОУ «</w:t>
      </w:r>
      <w:proofErr w:type="spellStart"/>
      <w:r>
        <w:t>Пуксинская</w:t>
      </w:r>
      <w:proofErr w:type="spellEnd"/>
      <w:r>
        <w:t xml:space="preserve"> СОШ» кассовый расход на минусе в связи с поступлением переплаты </w:t>
      </w:r>
      <w:r w:rsidR="00CA40F9">
        <w:t>за 2016 год за школьные принадлежности</w:t>
      </w:r>
      <w:r>
        <w:t xml:space="preserve"> , установленной в результате акта сверки взаимных расчетов.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3686"/>
        <w:gridCol w:w="1329"/>
        <w:gridCol w:w="1648"/>
        <w:gridCol w:w="1504"/>
        <w:gridCol w:w="1240"/>
      </w:tblGrid>
      <w:tr w:rsidR="003D1C24" w:rsidRPr="003D1C24" w:rsidTr="009745BE">
        <w:trPr>
          <w:trHeight w:val="304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9745BE">
        <w:trPr>
          <w:trHeight w:val="319"/>
        </w:trPr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3D1C24" w:rsidP="009745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A15BBD">
        <w:trPr>
          <w:trHeight w:val="315"/>
        </w:trPr>
        <w:tc>
          <w:tcPr>
            <w:tcW w:w="940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31.01.2020г.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Pr="00CA40F9" w:rsidRDefault="00A66965" w:rsidP="00CA40F9">
            <w:pPr>
              <w:pStyle w:val="2"/>
              <w:ind w:firstLine="601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 xml:space="preserve">составляют 70,5 % в сумме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181 409 289,00 рублей.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 xml:space="preserve">остоянию </w:t>
            </w:r>
            <w:r>
              <w:rPr>
                <w:i w:val="0"/>
                <w:sz w:val="28"/>
                <w:szCs w:val="28"/>
              </w:rPr>
              <w:lastRenderedPageBreak/>
              <w:t>на 01.02.2020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>7 908 733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</w:t>
            </w:r>
            <w:proofErr w:type="gramEnd"/>
            <w:r>
              <w:rPr>
                <w:i w:val="0"/>
                <w:sz w:val="28"/>
                <w:szCs w:val="28"/>
              </w:rPr>
              <w:t>,</w:t>
            </w:r>
            <w:r w:rsidR="00CA40F9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в том числе по видам программ :</w:t>
            </w:r>
          </w:p>
          <w:p w:rsidR="00A66965" w:rsidRPr="003D1C24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9745BE">
        <w:trPr>
          <w:trHeight w:val="255"/>
        </w:trPr>
        <w:tc>
          <w:tcPr>
            <w:tcW w:w="9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Единица измерения: руб.</w:t>
            </w:r>
          </w:p>
        </w:tc>
      </w:tr>
      <w:tr w:rsidR="003D1C24" w:rsidRPr="003D1C24" w:rsidTr="009745BE">
        <w:trPr>
          <w:trHeight w:val="52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утверждено на 2020год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D1C24" w:rsidRPr="003D1C24" w:rsidTr="009745BE">
        <w:trPr>
          <w:trHeight w:val="45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4 587 558,00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354 321,60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7,72%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7 878 000,00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1 548 420,00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112 103 000,00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4 836 341,75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4,31%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20 115 900,00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15,08%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57 595 700,00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901 402,26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1,57%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16 075 600,00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0,98%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10 235 600,00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744 115,49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7,27%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27 140 000,00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2 100 233,52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7,74%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22 428 917,00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1 756 657,19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7,83%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4 711 083,00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343 576,33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7,29%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6 680 275,00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617 836,07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9,25%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572 490,00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39,25%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6 107 785,00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393 136,07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6,44%</w:t>
            </w:r>
          </w:p>
        </w:tc>
      </w:tr>
      <w:tr w:rsidR="003D1C24" w:rsidRPr="003D1C24" w:rsidTr="009745B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290 736,00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12 568 800,00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D1C24" w:rsidRPr="003D1C24" w:rsidTr="009745BE">
        <w:trPr>
          <w:trHeight w:val="255"/>
        </w:trPr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181 409 289,00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7 908 732,94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1C24" w:rsidRPr="003D1C24" w:rsidRDefault="003D1C24" w:rsidP="003D1C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4,36%</w:t>
            </w:r>
          </w:p>
        </w:tc>
      </w:tr>
    </w:tbl>
    <w:p w:rsidR="003D1C24" w:rsidRDefault="003D1C24"/>
    <w:sectPr w:rsidR="003D1C24" w:rsidSect="00A15B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356693"/>
    <w:rsid w:val="003D1C24"/>
    <w:rsid w:val="00525617"/>
    <w:rsid w:val="00530C74"/>
    <w:rsid w:val="007A2E10"/>
    <w:rsid w:val="009745BE"/>
    <w:rsid w:val="009E1A63"/>
    <w:rsid w:val="00A15BBD"/>
    <w:rsid w:val="00A66965"/>
    <w:rsid w:val="00B1487A"/>
    <w:rsid w:val="00C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2020-02-07T12:43:00Z</cp:lastPrinted>
  <dcterms:created xsi:type="dcterms:W3CDTF">2020-02-07T11:13:00Z</dcterms:created>
  <dcterms:modified xsi:type="dcterms:W3CDTF">2020-02-07T12:44:00Z</dcterms:modified>
</cp:coreProperties>
</file>