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2B" w:rsidRDefault="0025772B" w:rsidP="0025772B">
      <w:pPr>
        <w:jc w:val="center"/>
        <w:rPr>
          <w:bCs/>
          <w:spacing w:val="100"/>
          <w:szCs w:val="28"/>
        </w:rPr>
      </w:pPr>
      <w:r>
        <w:rPr>
          <w:noProof/>
        </w:rPr>
        <w:drawing>
          <wp:inline distT="0" distB="0" distL="0" distR="0">
            <wp:extent cx="408940" cy="48387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2B" w:rsidRPr="0025772B" w:rsidRDefault="0025772B" w:rsidP="0025772B">
      <w:pPr>
        <w:jc w:val="center"/>
        <w:rPr>
          <w:b/>
          <w:bCs/>
          <w:spacing w:val="100"/>
          <w:sz w:val="28"/>
          <w:szCs w:val="28"/>
        </w:rPr>
      </w:pPr>
      <w:r w:rsidRPr="0025772B">
        <w:rPr>
          <w:b/>
          <w:bCs/>
          <w:spacing w:val="100"/>
          <w:sz w:val="28"/>
          <w:szCs w:val="28"/>
        </w:rPr>
        <w:t>ПОСТАНОВЛЕНИЕ</w:t>
      </w:r>
    </w:p>
    <w:p w:rsidR="0025772B" w:rsidRPr="0025772B" w:rsidRDefault="006E502C" w:rsidP="0025772B">
      <w:pPr>
        <w:pStyle w:val="1"/>
        <w:rPr>
          <w:bCs/>
          <w:szCs w:val="28"/>
        </w:rPr>
      </w:pPr>
      <w:proofErr w:type="gramStart"/>
      <w:r>
        <w:rPr>
          <w:bCs/>
          <w:szCs w:val="28"/>
        </w:rPr>
        <w:t xml:space="preserve">АДМИНИСТРАЦИИ </w:t>
      </w:r>
      <w:r w:rsidR="0025772B" w:rsidRPr="0025772B">
        <w:rPr>
          <w:bCs/>
          <w:szCs w:val="28"/>
        </w:rPr>
        <w:t xml:space="preserve"> ГАРИНСКОГО</w:t>
      </w:r>
      <w:proofErr w:type="gramEnd"/>
      <w:r w:rsidR="0025772B" w:rsidRPr="0025772B">
        <w:rPr>
          <w:bCs/>
          <w:szCs w:val="28"/>
        </w:rPr>
        <w:t xml:space="preserve"> ГОРОДСКОГО ОКРУГА</w:t>
      </w:r>
    </w:p>
    <w:p w:rsidR="0025772B" w:rsidRPr="0025772B" w:rsidRDefault="0025772B" w:rsidP="0025772B">
      <w:pPr>
        <w:rPr>
          <w:b/>
          <w:sz w:val="28"/>
          <w:szCs w:val="28"/>
        </w:rPr>
      </w:pPr>
    </w:p>
    <w:tbl>
      <w:tblPr>
        <w:tblW w:w="94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842"/>
        <w:gridCol w:w="426"/>
        <w:gridCol w:w="2020"/>
        <w:gridCol w:w="1382"/>
        <w:gridCol w:w="691"/>
        <w:gridCol w:w="691"/>
        <w:gridCol w:w="691"/>
        <w:gridCol w:w="1187"/>
      </w:tblGrid>
      <w:tr w:rsidR="0025772B" w:rsidRPr="0025772B" w:rsidTr="00E02C2F">
        <w:tc>
          <w:tcPr>
            <w:tcW w:w="497" w:type="dxa"/>
          </w:tcPr>
          <w:p w:rsidR="0025772B" w:rsidRPr="0025772B" w:rsidRDefault="00E02C2F" w:rsidP="00257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42" w:type="dxa"/>
          </w:tcPr>
          <w:p w:rsidR="0025772B" w:rsidRPr="0025772B" w:rsidRDefault="00E02C2F" w:rsidP="00E02C2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</w:t>
            </w:r>
            <w:r w:rsidR="000337CC">
              <w:rPr>
                <w:sz w:val="28"/>
                <w:szCs w:val="28"/>
              </w:rPr>
              <w:t xml:space="preserve">.2021 </w:t>
            </w:r>
          </w:p>
        </w:tc>
        <w:tc>
          <w:tcPr>
            <w:tcW w:w="426" w:type="dxa"/>
          </w:tcPr>
          <w:p w:rsidR="0025772B" w:rsidRPr="0025772B" w:rsidRDefault="0025772B" w:rsidP="0025772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5772B" w:rsidRPr="0025772B" w:rsidRDefault="0025772B" w:rsidP="00E02C2F">
            <w:pPr>
              <w:rPr>
                <w:sz w:val="28"/>
                <w:szCs w:val="28"/>
              </w:rPr>
            </w:pPr>
            <w:r w:rsidRPr="0025772B">
              <w:rPr>
                <w:sz w:val="28"/>
                <w:szCs w:val="28"/>
              </w:rPr>
              <w:t xml:space="preserve">                  № </w:t>
            </w:r>
            <w:r w:rsidR="00E02C2F">
              <w:rPr>
                <w:sz w:val="28"/>
                <w:szCs w:val="28"/>
              </w:rPr>
              <w:t>439</w:t>
            </w:r>
          </w:p>
        </w:tc>
        <w:tc>
          <w:tcPr>
            <w:tcW w:w="691" w:type="dxa"/>
          </w:tcPr>
          <w:p w:rsidR="0025772B" w:rsidRPr="0025772B" w:rsidRDefault="0025772B" w:rsidP="0025772B">
            <w:pPr>
              <w:rPr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25772B" w:rsidRPr="0025772B" w:rsidRDefault="0025772B" w:rsidP="0025772B">
            <w:pPr>
              <w:rPr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25772B" w:rsidRPr="0025772B" w:rsidRDefault="0025772B" w:rsidP="002577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25772B" w:rsidRPr="0025772B" w:rsidRDefault="0025772B" w:rsidP="0025772B">
            <w:pPr>
              <w:rPr>
                <w:b/>
                <w:sz w:val="28"/>
                <w:szCs w:val="28"/>
              </w:rPr>
            </w:pPr>
          </w:p>
        </w:tc>
      </w:tr>
      <w:tr w:rsidR="0025772B" w:rsidRPr="0025772B" w:rsidTr="00E02C2F">
        <w:tc>
          <w:tcPr>
            <w:tcW w:w="2339" w:type="dxa"/>
            <w:gridSpan w:val="2"/>
          </w:tcPr>
          <w:p w:rsidR="0025772B" w:rsidRPr="0025772B" w:rsidRDefault="0025772B" w:rsidP="0025772B">
            <w:pPr>
              <w:rPr>
                <w:sz w:val="28"/>
                <w:szCs w:val="28"/>
              </w:rPr>
            </w:pPr>
            <w:proofErr w:type="spellStart"/>
            <w:r w:rsidRPr="0025772B">
              <w:rPr>
                <w:sz w:val="28"/>
                <w:szCs w:val="28"/>
              </w:rPr>
              <w:t>п.</w:t>
            </w:r>
            <w:r w:rsidR="000337CC">
              <w:rPr>
                <w:sz w:val="28"/>
                <w:szCs w:val="28"/>
              </w:rPr>
              <w:t>г.т</w:t>
            </w:r>
            <w:proofErr w:type="spellEnd"/>
            <w:r w:rsidR="000337CC">
              <w:rPr>
                <w:sz w:val="28"/>
                <w:szCs w:val="28"/>
              </w:rPr>
              <w:t>.</w:t>
            </w:r>
            <w:r w:rsidRPr="0025772B">
              <w:rPr>
                <w:sz w:val="28"/>
                <w:szCs w:val="28"/>
              </w:rPr>
              <w:t xml:space="preserve"> Гари</w:t>
            </w:r>
          </w:p>
        </w:tc>
        <w:tc>
          <w:tcPr>
            <w:tcW w:w="426" w:type="dxa"/>
          </w:tcPr>
          <w:p w:rsidR="0025772B" w:rsidRPr="0025772B" w:rsidRDefault="0025772B" w:rsidP="0025772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5772B" w:rsidRPr="0025772B" w:rsidRDefault="0025772B" w:rsidP="0025772B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5772B" w:rsidRPr="0025772B" w:rsidRDefault="0025772B" w:rsidP="0025772B">
            <w:pPr>
              <w:rPr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25772B" w:rsidRPr="0025772B" w:rsidRDefault="0025772B" w:rsidP="0025772B">
            <w:pPr>
              <w:rPr>
                <w:b/>
                <w:sz w:val="28"/>
                <w:szCs w:val="28"/>
              </w:rPr>
            </w:pPr>
          </w:p>
        </w:tc>
        <w:tc>
          <w:tcPr>
            <w:tcW w:w="691" w:type="dxa"/>
          </w:tcPr>
          <w:p w:rsidR="0025772B" w:rsidRPr="0025772B" w:rsidRDefault="0025772B" w:rsidP="0025772B">
            <w:pPr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25772B" w:rsidRPr="0025772B" w:rsidRDefault="0025772B" w:rsidP="0025772B">
            <w:pPr>
              <w:rPr>
                <w:b/>
                <w:sz w:val="28"/>
                <w:szCs w:val="28"/>
              </w:rPr>
            </w:pPr>
          </w:p>
        </w:tc>
      </w:tr>
      <w:tr w:rsidR="0025772B" w:rsidRPr="00E71406" w:rsidTr="00E02C2F">
        <w:tc>
          <w:tcPr>
            <w:tcW w:w="9427" w:type="dxa"/>
            <w:gridSpan w:val="9"/>
          </w:tcPr>
          <w:p w:rsidR="0025772B" w:rsidRPr="001E0825" w:rsidRDefault="0025772B" w:rsidP="0025772B">
            <w:pPr>
              <w:jc w:val="both"/>
              <w:rPr>
                <w:i/>
                <w:szCs w:val="28"/>
              </w:rPr>
            </w:pPr>
          </w:p>
        </w:tc>
      </w:tr>
      <w:tr w:rsidR="0025772B" w:rsidRPr="00E71406" w:rsidTr="00E02C2F">
        <w:tc>
          <w:tcPr>
            <w:tcW w:w="4785" w:type="dxa"/>
            <w:gridSpan w:val="4"/>
          </w:tcPr>
          <w:p w:rsidR="0025772B" w:rsidRPr="00A13913" w:rsidRDefault="0025772B" w:rsidP="000337CC">
            <w:pPr>
              <w:pStyle w:val="ConsTitle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A13913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>О</w:t>
            </w:r>
            <w:r w:rsidR="000337CC" w:rsidRPr="00A13913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 внесении изменений в </w:t>
            </w:r>
            <w:r w:rsidR="00A13913" w:rsidRPr="00A13913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Положение о порядке </w:t>
            </w:r>
            <w:r w:rsidR="00A13913" w:rsidRPr="00A13913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расходования средств резервного фонда </w:t>
            </w:r>
            <w:r w:rsidR="00A13913" w:rsidRPr="00A13913">
              <w:rPr>
                <w:rFonts w:ascii="Liberation Serif" w:hAnsi="Liberation Serif"/>
                <w:b w:val="0"/>
                <w:sz w:val="28"/>
                <w:szCs w:val="28"/>
              </w:rPr>
              <w:t>администрации Гаринского городского округа</w:t>
            </w:r>
            <w:r w:rsidR="00E02C2F">
              <w:rPr>
                <w:rFonts w:ascii="Liberation Serif" w:hAnsi="Liberation Serif"/>
                <w:b w:val="0"/>
                <w:sz w:val="28"/>
                <w:szCs w:val="28"/>
              </w:rPr>
              <w:t>, утвержденного постановлением администрации Гаринского городского округа от 22.06.2020г № 190</w:t>
            </w:r>
          </w:p>
        </w:tc>
        <w:tc>
          <w:tcPr>
            <w:tcW w:w="4642" w:type="dxa"/>
            <w:gridSpan w:val="5"/>
          </w:tcPr>
          <w:p w:rsidR="0025772B" w:rsidRPr="000337CC" w:rsidRDefault="0025772B" w:rsidP="0025772B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</w:tbl>
    <w:p w:rsidR="0025772B" w:rsidRDefault="0025772B" w:rsidP="0025772B">
      <w:pPr>
        <w:jc w:val="center"/>
      </w:pPr>
    </w:p>
    <w:p w:rsidR="0025772B" w:rsidRDefault="0025772B" w:rsidP="0025772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97E" w:rsidRDefault="00CA597E" w:rsidP="0025772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772B" w:rsidRPr="000337CC" w:rsidRDefault="0025772B" w:rsidP="0025772B">
      <w:pPr>
        <w:pStyle w:val="ConsPlusNormal"/>
        <w:widowControl/>
        <w:ind w:firstLine="54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F30CCC">
        <w:rPr>
          <w:rFonts w:ascii="Times New Roman" w:hAnsi="Times New Roman" w:cs="Times New Roman"/>
          <w:bCs/>
          <w:sz w:val="24"/>
          <w:szCs w:val="24"/>
        </w:rPr>
        <w:tab/>
      </w:r>
      <w:r w:rsidRPr="000337CC">
        <w:rPr>
          <w:rFonts w:ascii="Liberation Serif" w:hAnsi="Liberation Serif" w:cs="Times New Roman"/>
          <w:sz w:val="28"/>
          <w:szCs w:val="28"/>
        </w:rPr>
        <w:t>В соответствии с Федеральным</w:t>
      </w:r>
      <w:r w:rsidR="000337CC" w:rsidRPr="000337CC">
        <w:rPr>
          <w:rFonts w:ascii="Liberation Serif" w:hAnsi="Liberation Serif" w:cs="Times New Roman"/>
          <w:sz w:val="28"/>
          <w:szCs w:val="28"/>
        </w:rPr>
        <w:t xml:space="preserve">  законо</w:t>
      </w:r>
      <w:r w:rsidRPr="000337CC">
        <w:rPr>
          <w:rFonts w:ascii="Liberation Serif" w:hAnsi="Liberation Serif" w:cs="Times New Roman"/>
          <w:sz w:val="28"/>
          <w:szCs w:val="28"/>
        </w:rPr>
        <w:t xml:space="preserve">м от </w:t>
      </w:r>
      <w:r w:rsidR="006E502C" w:rsidRPr="000337CC">
        <w:rPr>
          <w:rFonts w:ascii="Liberation Serif" w:hAnsi="Liberation Serif" w:cs="Times New Roman"/>
          <w:sz w:val="28"/>
          <w:szCs w:val="28"/>
        </w:rPr>
        <w:t>0</w:t>
      </w:r>
      <w:r w:rsidRPr="000337CC">
        <w:rPr>
          <w:rFonts w:ascii="Liberation Serif" w:hAnsi="Liberation Serif" w:cs="Times New Roman"/>
          <w:sz w:val="28"/>
          <w:szCs w:val="28"/>
        </w:rPr>
        <w:t xml:space="preserve">6 октября 2003 года </w:t>
      </w:r>
      <w:hyperlink r:id="rId7" w:history="1">
        <w:r w:rsidRPr="000337CC">
          <w:rPr>
            <w:rFonts w:ascii="Liberation Serif" w:hAnsi="Liberation Serif" w:cs="Times New Roman"/>
            <w:color w:val="0000FF"/>
            <w:sz w:val="28"/>
            <w:szCs w:val="28"/>
          </w:rPr>
          <w:t>N 131-ФЗ</w:t>
        </w:r>
      </w:hyperlink>
      <w:r w:rsidRPr="000337CC">
        <w:rPr>
          <w:rFonts w:ascii="Liberation Serif" w:hAnsi="Liberation Serif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 </w:t>
      </w:r>
      <w:hyperlink r:id="rId8" w:history="1">
        <w:r w:rsidRPr="00E02C2F">
          <w:rPr>
            <w:rStyle w:val="a3"/>
            <w:rFonts w:ascii="Liberation Serif" w:hAnsi="Liberation Serif" w:cs="Times New Roman"/>
            <w:bCs/>
            <w:sz w:val="28"/>
            <w:szCs w:val="28"/>
            <w:u w:val="none"/>
          </w:rPr>
          <w:t>статьей</w:t>
        </w:r>
      </w:hyperlink>
      <w:r w:rsidRPr="000337CC">
        <w:rPr>
          <w:rFonts w:ascii="Liberation Serif" w:hAnsi="Liberation Serif" w:cs="Times New Roman"/>
          <w:bCs/>
          <w:sz w:val="28"/>
          <w:szCs w:val="28"/>
        </w:rPr>
        <w:t xml:space="preserve"> 81 Бюджетного кодекса Российской Федерации, </w:t>
      </w:r>
      <w:r w:rsidR="006E502C" w:rsidRPr="000337CC">
        <w:rPr>
          <w:rFonts w:ascii="Liberation Serif" w:hAnsi="Liberation Serif" w:cs="Times New Roman"/>
          <w:bCs/>
          <w:sz w:val="28"/>
          <w:szCs w:val="28"/>
        </w:rPr>
        <w:t>руководствуясь</w:t>
      </w:r>
      <w:r w:rsidRPr="000337CC">
        <w:rPr>
          <w:rFonts w:ascii="Liberation Serif" w:hAnsi="Liberation Serif" w:cs="Times New Roman"/>
          <w:sz w:val="28"/>
          <w:szCs w:val="28"/>
        </w:rPr>
        <w:t xml:space="preserve"> Уставом  Гаринского   городского округа,   </w:t>
      </w:r>
    </w:p>
    <w:p w:rsidR="005D2E65" w:rsidRPr="000337CC" w:rsidRDefault="0025772B" w:rsidP="005D2E65">
      <w:pPr>
        <w:pStyle w:val="ConsTitle"/>
        <w:widowControl/>
        <w:jc w:val="both"/>
        <w:rPr>
          <w:rFonts w:ascii="Liberation Serif" w:hAnsi="Liberation Serif" w:cs="Times New Roman"/>
          <w:bCs w:val="0"/>
          <w:sz w:val="28"/>
          <w:szCs w:val="28"/>
        </w:rPr>
      </w:pPr>
      <w:r w:rsidRPr="000337CC">
        <w:rPr>
          <w:rFonts w:ascii="Liberation Serif" w:hAnsi="Liberation Serif" w:cs="Times New Roman"/>
          <w:bCs w:val="0"/>
          <w:sz w:val="28"/>
          <w:szCs w:val="28"/>
        </w:rPr>
        <w:t>ПОСТАНОВЛЯЮ:</w:t>
      </w:r>
    </w:p>
    <w:p w:rsidR="000337CC" w:rsidRDefault="000337CC" w:rsidP="000337CC">
      <w:pPr>
        <w:pStyle w:val="ConsTitle"/>
        <w:widowControl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proofErr w:type="gramStart"/>
      <w:r w:rsidRPr="000337CC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Внести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Положение</w:t>
      </w:r>
      <w:r w:rsidRPr="000337CC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о порядке </w:t>
      </w:r>
      <w:r w:rsidRPr="000337CC">
        <w:rPr>
          <w:rFonts w:ascii="Liberation Serif" w:hAnsi="Liberation Serif" w:cs="Times New Roman"/>
          <w:b w:val="0"/>
          <w:sz w:val="28"/>
          <w:szCs w:val="28"/>
        </w:rPr>
        <w:t xml:space="preserve">расходования средств резервного фонда </w:t>
      </w:r>
      <w:r w:rsidRPr="000337CC">
        <w:rPr>
          <w:rFonts w:ascii="Liberation Serif" w:hAnsi="Liberation Serif"/>
          <w:b w:val="0"/>
          <w:sz w:val="28"/>
          <w:szCs w:val="28"/>
        </w:rPr>
        <w:t>администрации Гаринского городского округа</w:t>
      </w:r>
      <w:r>
        <w:rPr>
          <w:rFonts w:ascii="Liberation Serif" w:hAnsi="Liberation Serif"/>
          <w:b w:val="0"/>
          <w:sz w:val="28"/>
          <w:szCs w:val="28"/>
        </w:rPr>
        <w:t>, утвержденного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r w:rsidRPr="000337CC">
        <w:rPr>
          <w:rFonts w:ascii="Liberation Serif" w:hAnsi="Liberation Serif" w:cs="Times New Roman"/>
          <w:b w:val="0"/>
          <w:bCs w:val="0"/>
          <w:sz w:val="28"/>
          <w:szCs w:val="28"/>
        </w:rPr>
        <w:t>постановлени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ем</w:t>
      </w:r>
      <w:r w:rsidRPr="000337CC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администрации Гаринского городского округа от 22.06.2020 г. № 190 «Об утверждении Положения о порядке </w:t>
      </w:r>
      <w:r w:rsidRPr="000337CC">
        <w:rPr>
          <w:rFonts w:ascii="Liberation Serif" w:hAnsi="Liberation Serif" w:cs="Times New Roman"/>
          <w:b w:val="0"/>
          <w:sz w:val="28"/>
          <w:szCs w:val="28"/>
        </w:rPr>
        <w:t xml:space="preserve">расходования средств резервного фонда </w:t>
      </w:r>
      <w:r w:rsidRPr="000337CC">
        <w:rPr>
          <w:rFonts w:ascii="Liberation Serif" w:hAnsi="Liberation Serif"/>
          <w:b w:val="0"/>
          <w:sz w:val="28"/>
          <w:szCs w:val="28"/>
        </w:rPr>
        <w:t>администрации Гаринского городского округа»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(далее – Положение) </w:t>
      </w:r>
      <w:r w:rsidR="00E02C2F">
        <w:rPr>
          <w:rFonts w:ascii="Liberation Serif" w:hAnsi="Liberation Serif" w:cs="Times New Roman"/>
          <w:b w:val="0"/>
          <w:bCs w:val="0"/>
          <w:sz w:val="28"/>
          <w:szCs w:val="28"/>
        </w:rPr>
        <w:t>следующие изменения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:</w:t>
      </w:r>
      <w:r w:rsidRPr="000337CC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</w:t>
      </w:r>
    </w:p>
    <w:p w:rsidR="00A13913" w:rsidRDefault="00A13913" w:rsidP="00A13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1.1.</w:t>
      </w:r>
      <w:r w:rsidR="000337CC" w:rsidRPr="00A13913">
        <w:rPr>
          <w:rFonts w:ascii="Liberation Serif" w:hAnsi="Liberation Serif" w:cs="Times New Roman"/>
          <w:bCs/>
          <w:sz w:val="28"/>
          <w:szCs w:val="28"/>
        </w:rPr>
        <w:t xml:space="preserve">Подпункт 4 пункта 6 </w:t>
      </w:r>
      <w:proofErr w:type="gramStart"/>
      <w:r w:rsidR="000337CC" w:rsidRPr="00A13913">
        <w:rPr>
          <w:rFonts w:ascii="Liberation Serif" w:hAnsi="Liberation Serif" w:cs="Times New Roman"/>
          <w:bCs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2C2F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 редакции : </w:t>
      </w:r>
    </w:p>
    <w:p w:rsidR="00A13913" w:rsidRDefault="00A13913" w:rsidP="00A13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772B">
        <w:rPr>
          <w:rFonts w:ascii="Times New Roman" w:hAnsi="Times New Roman" w:cs="Times New Roman"/>
          <w:sz w:val="28"/>
          <w:szCs w:val="28"/>
        </w:rPr>
        <w:t>4) выплату единовременной материальной помощи и (или) финансовой помощи</w:t>
      </w:r>
      <w:r>
        <w:rPr>
          <w:rFonts w:ascii="Times New Roman" w:hAnsi="Times New Roman" w:cs="Times New Roman"/>
          <w:sz w:val="28"/>
          <w:szCs w:val="28"/>
        </w:rPr>
        <w:t xml:space="preserve"> по решению Главы администрации Гаринского округа</w:t>
      </w:r>
      <w:r w:rsidR="00E02C2F">
        <w:rPr>
          <w:rFonts w:ascii="Times New Roman" w:hAnsi="Times New Roman" w:cs="Times New Roman"/>
          <w:sz w:val="28"/>
          <w:szCs w:val="28"/>
        </w:rPr>
        <w:t>;»;</w:t>
      </w:r>
    </w:p>
    <w:p w:rsidR="00A13913" w:rsidRDefault="00A13913" w:rsidP="00A13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13913">
        <w:rPr>
          <w:rFonts w:ascii="Liberation Serif" w:hAnsi="Liberation Serif" w:cs="Times New Roman"/>
          <w:bCs/>
          <w:sz w:val="28"/>
          <w:szCs w:val="28"/>
        </w:rPr>
        <w:t xml:space="preserve"> Подпункт </w:t>
      </w:r>
      <w:r>
        <w:rPr>
          <w:rFonts w:ascii="Liberation Serif" w:hAnsi="Liberation Serif" w:cs="Times New Roman"/>
          <w:bCs/>
          <w:sz w:val="28"/>
          <w:szCs w:val="28"/>
        </w:rPr>
        <w:t>8</w:t>
      </w:r>
      <w:r w:rsidRPr="00A13913">
        <w:rPr>
          <w:rFonts w:ascii="Liberation Serif" w:hAnsi="Liberation Serif" w:cs="Times New Roman"/>
          <w:bCs/>
          <w:sz w:val="28"/>
          <w:szCs w:val="28"/>
        </w:rPr>
        <w:t xml:space="preserve"> пункта 6 </w:t>
      </w:r>
      <w:proofErr w:type="gramStart"/>
      <w:r w:rsidRPr="00A13913">
        <w:rPr>
          <w:rFonts w:ascii="Liberation Serif" w:hAnsi="Liberation Serif" w:cs="Times New Roman"/>
          <w:bCs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2C2F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 редакции :</w:t>
      </w:r>
    </w:p>
    <w:p w:rsidR="00A13913" w:rsidRDefault="00A13913" w:rsidP="00A13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другие непредвиденные расходы, не предусмотренные в бюд</w:t>
      </w:r>
      <w:r w:rsidR="00DD5B3C">
        <w:rPr>
          <w:rFonts w:ascii="Times New Roman" w:hAnsi="Times New Roman" w:cs="Times New Roman"/>
          <w:sz w:val="28"/>
          <w:szCs w:val="28"/>
        </w:rPr>
        <w:t>жете на текущий финансовый год</w:t>
      </w:r>
      <w:r w:rsidR="00E02C2F">
        <w:rPr>
          <w:rFonts w:ascii="Times New Roman" w:hAnsi="Times New Roman" w:cs="Times New Roman"/>
          <w:sz w:val="28"/>
          <w:szCs w:val="28"/>
        </w:rPr>
        <w:t>.</w:t>
      </w:r>
      <w:r w:rsidR="00DD5B3C">
        <w:rPr>
          <w:rFonts w:ascii="Times New Roman" w:hAnsi="Times New Roman" w:cs="Times New Roman"/>
          <w:sz w:val="28"/>
          <w:szCs w:val="28"/>
        </w:rPr>
        <w:t>»;</w:t>
      </w:r>
    </w:p>
    <w:p w:rsidR="00DD5B3C" w:rsidRDefault="00DD5B3C" w:rsidP="00DD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12 Положения, изложить в </w:t>
      </w:r>
      <w:r w:rsidR="00E02C2F">
        <w:rPr>
          <w:rFonts w:ascii="Times New Roman" w:hAnsi="Times New Roman" w:cs="Times New Roman"/>
          <w:sz w:val="28"/>
          <w:szCs w:val="28"/>
        </w:rPr>
        <w:t xml:space="preserve">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редакции :</w:t>
      </w:r>
      <w:proofErr w:type="gramEnd"/>
    </w:p>
    <w:p w:rsidR="00DD5B3C" w:rsidRDefault="00DD5B3C" w:rsidP="00A13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Pr="0025772B">
        <w:rPr>
          <w:rFonts w:ascii="Times New Roman" w:hAnsi="Times New Roman" w:cs="Times New Roman"/>
          <w:sz w:val="28"/>
          <w:szCs w:val="28"/>
        </w:rPr>
        <w:t xml:space="preserve">. В случае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Гаринского городского округа </w:t>
      </w:r>
      <w:r w:rsidRPr="0025772B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 необходимым условием для перечисления средств является заключение между главным распорядителем (распорядителем) бюджетных средств и получателем соглашения (договора) о предоставлении из </w:t>
      </w:r>
      <w:proofErr w:type="gramStart"/>
      <w:r w:rsidRPr="0025772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Гаринского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субсидий, установленной порядком предоставления субсидии.  В случаи не установления формы соглашения в порядке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субсидий, соглашение заключается по т</w:t>
      </w:r>
      <w:r w:rsidRPr="0025772B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>ой форме</w:t>
      </w:r>
      <w:r w:rsidRPr="00257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72B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72B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72B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 городского округа</w:t>
      </w:r>
      <w:r w:rsidRPr="00257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772B" w:rsidRPr="00A13913" w:rsidRDefault="00A13913" w:rsidP="00A13913">
      <w:pPr>
        <w:pStyle w:val="ConsTitle"/>
        <w:widowControl/>
        <w:numPr>
          <w:ilvl w:val="0"/>
          <w:numId w:val="3"/>
        </w:numPr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A13913">
        <w:rPr>
          <w:rFonts w:ascii="Liberation Serif" w:hAnsi="Liberation Serif"/>
          <w:b w:val="0"/>
          <w:sz w:val="28"/>
          <w:szCs w:val="28"/>
        </w:rPr>
        <w:t>Наст</w:t>
      </w:r>
      <w:r w:rsidR="0025772B" w:rsidRPr="00A13913">
        <w:rPr>
          <w:rFonts w:ascii="Liberation Serif" w:hAnsi="Liberation Serif"/>
          <w:b w:val="0"/>
          <w:sz w:val="28"/>
          <w:szCs w:val="28"/>
        </w:rPr>
        <w:t>оящее постановление опубликовать (обнародовать).</w:t>
      </w:r>
    </w:p>
    <w:p w:rsidR="0025772B" w:rsidRDefault="0025772B" w:rsidP="0025772B">
      <w:pPr>
        <w:pStyle w:val="Con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E02C2F" w:rsidRPr="000337CC" w:rsidRDefault="00E02C2F" w:rsidP="0025772B">
      <w:pPr>
        <w:pStyle w:val="Con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25772B" w:rsidRPr="000337CC" w:rsidRDefault="0025772B" w:rsidP="0025772B">
      <w:pPr>
        <w:pStyle w:val="Con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0337CC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Глава </w:t>
      </w:r>
    </w:p>
    <w:p w:rsidR="0025772B" w:rsidRPr="000337CC" w:rsidRDefault="0025772B" w:rsidP="0025772B">
      <w:pPr>
        <w:pStyle w:val="Con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0337CC">
        <w:rPr>
          <w:rFonts w:ascii="Liberation Serif" w:hAnsi="Liberation Serif" w:cs="Times New Roman"/>
          <w:b w:val="0"/>
          <w:bCs w:val="0"/>
          <w:sz w:val="28"/>
          <w:szCs w:val="28"/>
        </w:rPr>
        <w:t>Гаринского городского округа</w:t>
      </w:r>
      <w:r w:rsidRPr="000337CC">
        <w:rPr>
          <w:rFonts w:ascii="Liberation Serif" w:hAnsi="Liberation Serif" w:cs="Times New Roman"/>
          <w:b w:val="0"/>
          <w:bCs w:val="0"/>
          <w:sz w:val="28"/>
          <w:szCs w:val="28"/>
        </w:rPr>
        <w:tab/>
      </w:r>
      <w:r w:rsidRPr="000337CC">
        <w:rPr>
          <w:rFonts w:ascii="Liberation Serif" w:hAnsi="Liberation Serif" w:cs="Times New Roman"/>
          <w:b w:val="0"/>
          <w:bCs w:val="0"/>
          <w:sz w:val="28"/>
          <w:szCs w:val="28"/>
        </w:rPr>
        <w:tab/>
      </w:r>
      <w:r w:rsidRPr="000337CC">
        <w:rPr>
          <w:rFonts w:ascii="Liberation Serif" w:hAnsi="Liberation Serif" w:cs="Times New Roman"/>
          <w:b w:val="0"/>
          <w:bCs w:val="0"/>
          <w:sz w:val="28"/>
          <w:szCs w:val="28"/>
        </w:rPr>
        <w:tab/>
      </w:r>
      <w:r w:rsidRPr="000337CC">
        <w:rPr>
          <w:rFonts w:ascii="Liberation Serif" w:hAnsi="Liberation Serif" w:cs="Times New Roman"/>
          <w:b w:val="0"/>
          <w:bCs w:val="0"/>
          <w:sz w:val="28"/>
          <w:szCs w:val="28"/>
        </w:rPr>
        <w:tab/>
        <w:t xml:space="preserve">            С.Е. Величко</w:t>
      </w:r>
    </w:p>
    <w:p w:rsidR="00A5206A" w:rsidRPr="0025772B" w:rsidRDefault="00A52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</w:p>
    <w:sectPr w:rsidR="00A5206A" w:rsidRPr="0025772B" w:rsidSect="00A1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3209"/>
    <w:multiLevelType w:val="multilevel"/>
    <w:tmpl w:val="C1821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C41045D"/>
    <w:multiLevelType w:val="multilevel"/>
    <w:tmpl w:val="33D01B48"/>
    <w:lvl w:ilvl="0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7D0863DC"/>
    <w:multiLevelType w:val="hybridMultilevel"/>
    <w:tmpl w:val="5E3E0C0A"/>
    <w:lvl w:ilvl="0" w:tplc="1D26B10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6A"/>
    <w:rsid w:val="000337CC"/>
    <w:rsid w:val="00144DB1"/>
    <w:rsid w:val="00172661"/>
    <w:rsid w:val="00191A8A"/>
    <w:rsid w:val="001C0FEC"/>
    <w:rsid w:val="001E74CF"/>
    <w:rsid w:val="0025772B"/>
    <w:rsid w:val="00277CDA"/>
    <w:rsid w:val="002975E4"/>
    <w:rsid w:val="00311572"/>
    <w:rsid w:val="0032281B"/>
    <w:rsid w:val="003441F6"/>
    <w:rsid w:val="00395D4D"/>
    <w:rsid w:val="003C157A"/>
    <w:rsid w:val="003E7B51"/>
    <w:rsid w:val="00404E96"/>
    <w:rsid w:val="00494F0A"/>
    <w:rsid w:val="004D77E6"/>
    <w:rsid w:val="004E6B0C"/>
    <w:rsid w:val="005D2E65"/>
    <w:rsid w:val="006E502C"/>
    <w:rsid w:val="00783946"/>
    <w:rsid w:val="007E5005"/>
    <w:rsid w:val="007F5CDA"/>
    <w:rsid w:val="008120F5"/>
    <w:rsid w:val="00831167"/>
    <w:rsid w:val="009A4334"/>
    <w:rsid w:val="009D1CCC"/>
    <w:rsid w:val="00A13913"/>
    <w:rsid w:val="00A5206A"/>
    <w:rsid w:val="00A614CF"/>
    <w:rsid w:val="00A97919"/>
    <w:rsid w:val="00B01735"/>
    <w:rsid w:val="00B10510"/>
    <w:rsid w:val="00B83FA6"/>
    <w:rsid w:val="00C04F38"/>
    <w:rsid w:val="00CA597E"/>
    <w:rsid w:val="00D31FA5"/>
    <w:rsid w:val="00D77D3E"/>
    <w:rsid w:val="00DD5B3C"/>
    <w:rsid w:val="00DE48EA"/>
    <w:rsid w:val="00E02C2F"/>
    <w:rsid w:val="00E445B7"/>
    <w:rsid w:val="00EB1A6B"/>
    <w:rsid w:val="00ED7AA8"/>
    <w:rsid w:val="00F14094"/>
    <w:rsid w:val="00FA704A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4AE3-C68A-4144-AD74-7DF0871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72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2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2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2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20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77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25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2577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F35A40EC656B3E9E45D057AE4B8ABCF329A77E9071F77460E0D73EBAB4933B2B047F0DCBo2e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986E4A45CDC5B44A58015B0B9DA3B4A2FE7A3BB3C371B33D2B2FF09B8F160D0D703C723F5A6CA080C9FAD8C46BD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BCB1-AB38-4D29-AC44-07DF9656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2021-12-15T13:23:00Z</cp:lastPrinted>
  <dcterms:created xsi:type="dcterms:W3CDTF">2021-12-15T13:24:00Z</dcterms:created>
  <dcterms:modified xsi:type="dcterms:W3CDTF">2021-12-15T13:24:00Z</dcterms:modified>
</cp:coreProperties>
</file>