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F2524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984FC6" w:rsidRDefault="00984FC6" w:rsidP="00984FC6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Способы подачи жалоб</w:t>
      </w:r>
    </w:p>
    <w:p w:rsidR="00984FC6" w:rsidRDefault="00984FC6" w:rsidP="00984FC6">
      <w:pPr>
        <w:spacing w:after="300"/>
        <w:ind w:firstLine="709"/>
        <w:contextualSpacing/>
        <w:jc w:val="center"/>
        <w:outlineLvl w:val="0"/>
        <w:rPr>
          <w:color w:val="000000" w:themeColor="text1"/>
          <w:kern w:val="36"/>
          <w:szCs w:val="28"/>
        </w:rPr>
      </w:pPr>
    </w:p>
    <w:p w:rsidR="00984FC6" w:rsidRDefault="00984FC6" w:rsidP="00984FC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hyperlink r:id="rId9" w:anchor="t8" w:history="1">
        <w:proofErr w:type="gramStart"/>
        <w:r>
          <w:rPr>
            <w:rStyle w:val="af"/>
            <w:color w:val="000000" w:themeColor="text1"/>
            <w:szCs w:val="28"/>
          </w:rPr>
          <w:t>Межрайонная</w:t>
        </w:r>
        <w:proofErr w:type="gramEnd"/>
        <w:r>
          <w:rPr>
            <w:rStyle w:val="af"/>
            <w:color w:val="000000" w:themeColor="text1"/>
            <w:szCs w:val="28"/>
          </w:rPr>
          <w:t xml:space="preserve"> ИФНС России № 26 по Свердловской области </w:t>
        </w:r>
      </w:hyperlink>
      <w:r>
        <w:rPr>
          <w:color w:val="000000" w:themeColor="text1"/>
          <w:szCs w:val="28"/>
        </w:rPr>
        <w:t>информирует, что каждый гражданин вправе обжаловать акты налоговых органов ненормативного характера, действия или бездействие их должностных лиц, если, по мнению этого лица, они нарушают его права. Жалоба в налоговый орган подается в письменной форме, может быть направлена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984FC6" w:rsidRDefault="00984FC6" w:rsidP="00984FC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1 мая 2020 используются утвержденные форматы, размещенные на сайте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www.nalog.gov.ru</w:t>
        </w:r>
      </w:hyperlink>
      <w:r>
        <w:rPr>
          <w:color w:val="000000" w:themeColor="text1"/>
          <w:szCs w:val="28"/>
        </w:rPr>
        <w:t>. Представленная жалоба должна быть подписана усиленной квалификационной электронной подписью лица, подающего жалобу, и направлена через оператора электронного документооборота. В ответ налоговый орган сможет сообщить по ТКС время и место ее рассмотрения, информацию о приостановлении или об отказе в приостановлении исполнения решения инспекции, а также сведения о продлении срока рассмотрения жалобы и решение по ней. Такой механизм упрощает и оптимизирует взаимодействие налоговых органов и налогоплательщиков, снижает временные и финансовые затраты, позволяет отправлять документы с рабочего места.</w:t>
      </w:r>
    </w:p>
    <w:p w:rsidR="00984FC6" w:rsidRDefault="00984FC6" w:rsidP="00984FC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Электронный документооборот становится все более востребованным при досудебном урегулировании налоговых споров. </w:t>
      </w:r>
    </w:p>
    <w:p w:rsidR="00984FC6" w:rsidRDefault="00984FC6" w:rsidP="00984FC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Предупреждаем, что нарушение порядка подачи жалобы, установленного пунктом 1 статьи 139.2 Налогового кодекса Российской Федерации, в том числе несоблюдения способов её представления, является одним из оснований для оставления жалобы без рассмотрения.</w:t>
      </w:r>
    </w:p>
    <w:p w:rsidR="00A364F3" w:rsidRDefault="00A364F3" w:rsidP="00A364F3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24" w:rsidRDefault="00DF2524" w:rsidP="00BB142A">
      <w:r>
        <w:separator/>
      </w:r>
    </w:p>
  </w:endnote>
  <w:endnote w:type="continuationSeparator" w:id="0">
    <w:p w:rsidR="00DF2524" w:rsidRDefault="00DF2524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24" w:rsidRDefault="00DF2524" w:rsidP="00BB142A">
      <w:r>
        <w:separator/>
      </w:r>
    </w:p>
  </w:footnote>
  <w:footnote w:type="continuationSeparator" w:id="0">
    <w:p w:rsidR="00DF2524" w:rsidRDefault="00DF2524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C6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2159A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8/apply_f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153</cp:revision>
  <cp:lastPrinted>2021-10-27T09:55:00Z</cp:lastPrinted>
  <dcterms:created xsi:type="dcterms:W3CDTF">2020-06-17T08:48:00Z</dcterms:created>
  <dcterms:modified xsi:type="dcterms:W3CDTF">2022-01-26T13:53:00Z</dcterms:modified>
</cp:coreProperties>
</file>