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DD5B7D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DD5B7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345E6"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E03FB6"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DD5B7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DD5B7D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bookmarkEnd w:id="0"/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E03FB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ноябрь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</w:t>
      </w:r>
      <w:proofErr w:type="gramStart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9C51E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E03FB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22</w:t>
      </w:r>
      <w:proofErr w:type="gramEnd"/>
      <w:r w:rsidR="009C51E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</w:t>
      </w:r>
      <w:r w:rsidR="009C51E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77</w:t>
      </w:r>
      <w:r w:rsidR="00D65DF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638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308 260 170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E03FB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72,2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E03FB6" w:rsidRDefault="008A7AEA" w:rsidP="00E03F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proofErr w:type="gramEnd"/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,7</w:t>
      </w:r>
      <w:r w:rsidR="009C51EE">
        <w:rPr>
          <w:rFonts w:ascii="Liberation Serif" w:eastAsia="Times New Roman" w:hAnsi="Liberation Serif" w:cs="Times New Roman"/>
          <w:sz w:val="24"/>
          <w:szCs w:val="24"/>
          <w:lang w:eastAsia="ru-RU"/>
        </w:rPr>
        <w:t>,2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8 343 253</w:t>
      </w:r>
      <w:r w:rsidR="009C51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D442EC" w:rsidRDefault="00525617" w:rsidP="00E03F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69,5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proofErr w:type="gramEnd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593 </w:t>
      </w:r>
      <w:proofErr w:type="gramStart"/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400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4 269 948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6A0B83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proofErr w:type="gramEnd"/>
      <w:r w:rsidR="00D65DF7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210</w:t>
      </w:r>
      <w:r w:rsidR="00D65D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487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</w:t>
      </w:r>
      <w:proofErr w:type="gramStart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исполнение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ноябрь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87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6 892,2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03FB6" w:rsidRPr="00E03FB6" w:rsidRDefault="00E03FB6" w:rsidP="00E0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FB6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E03FB6" w:rsidRPr="00E03FB6" w:rsidRDefault="00E03FB6" w:rsidP="00E0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FB6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E03FB6" w:rsidRPr="00E03FB6" w:rsidRDefault="00E03FB6" w:rsidP="00E03FB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E03FB6">
        <w:rPr>
          <w:rFonts w:ascii="Times New Roman" w:eastAsia="Arial Unicode MS" w:hAnsi="Times New Roman" w:cs="Times New Roman"/>
          <w:b/>
        </w:rPr>
        <w:t xml:space="preserve"> Гаринского городского округа на 01.12.2021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 xml:space="preserve">Код классификации 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Объем средств по решению о бюджете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 xml:space="preserve"> на 2021г. 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сумма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 xml:space="preserve">Исполнение за отчетный период 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Снижение / рост к 2020 г.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Arial Unicode MS" w:hAnsi="Liberation Serif" w:cs="Times New Roman"/>
                <w:sz w:val="18"/>
                <w:szCs w:val="18"/>
              </w:rPr>
              <w:t>в %</w:t>
            </w:r>
          </w:p>
        </w:tc>
      </w:tr>
      <w:tr w:rsidR="00E03FB6" w:rsidRPr="00E03FB6" w:rsidTr="00E03FB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86 477 500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68 343 253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+ 69,5</w:t>
            </w:r>
          </w:p>
        </w:tc>
      </w:tr>
      <w:tr w:rsidR="00E03FB6" w:rsidRPr="00E03FB6" w:rsidTr="00E03F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65 467 167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+ 74,7</w:t>
            </w:r>
          </w:p>
        </w:tc>
      </w:tr>
      <w:tr w:rsidR="00E03FB6" w:rsidRPr="00E03FB6" w:rsidTr="00E03FB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60 330 693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+ 80,8</w:t>
            </w:r>
          </w:p>
        </w:tc>
      </w:tr>
      <w:tr w:rsidR="00E03FB6" w:rsidRPr="00E03FB6" w:rsidTr="00E03FB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</w:rPr>
              <w:t>1 179 479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</w:rPr>
              <w:t>+ 150,7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3 165 665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+ 10,0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65 694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- 74,1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512 083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+ 61,7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213 553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+19,6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3 886 700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2 876 086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+ 0,7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1 684 372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+ 2,7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- 98,8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872 807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+ 37,8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49 948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- 75,0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268 460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- 21,3</w:t>
            </w:r>
          </w:p>
        </w:tc>
      </w:tr>
      <w:tr w:rsidR="00E03FB6" w:rsidRPr="00E03FB6" w:rsidTr="00E03FB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03FB6" w:rsidRPr="00E03FB6" w:rsidTr="00E03FB6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154 134 385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- 7,9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000 2 02 00000 00 0000 000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156 973 835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- 7,2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Дотации</w:t>
            </w: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88 900 000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- 15,7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000 </w:t>
            </w: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40 138 000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- 19,3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000 2 02 15002 00 0000 150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48 762 000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- 12,5</w:t>
            </w:r>
          </w:p>
        </w:tc>
      </w:tr>
      <w:tr w:rsidR="00E03FB6" w:rsidRPr="00E03FB6" w:rsidTr="00E03FB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Субсидии</w:t>
            </w: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3 764 400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3 593 400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- 77,7</w:t>
            </w:r>
          </w:p>
        </w:tc>
      </w:tr>
      <w:tr w:rsidR="00E03FB6" w:rsidRPr="00E03FB6" w:rsidTr="00E03FB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B6" w:rsidRPr="00E03FB6" w:rsidRDefault="00E03FB6" w:rsidP="00E03FB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E03FB6" w:rsidRPr="00E03FB6" w:rsidRDefault="00E03FB6" w:rsidP="00E03F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928 800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928 800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FB6" w:rsidRPr="00E03FB6" w:rsidTr="00E03FB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Прочие субсидии</w:t>
            </w:r>
          </w:p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2 835 600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2 664 600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- 83,2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000 2 02 30000 00 0000 150</w:t>
            </w:r>
          </w:p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Субвенции </w:t>
            </w: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54 603 400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54 269 948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+ 19,5</w:t>
            </w:r>
          </w:p>
        </w:tc>
      </w:tr>
      <w:tr w:rsidR="00E03FB6" w:rsidRPr="00E03FB6" w:rsidTr="00E0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FB6" w:rsidRPr="00E03FB6" w:rsidTr="00E03FB6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Cs/>
                <w:color w:val="000000" w:themeColor="text1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12 351 100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12 305 025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+ 25,3</w:t>
            </w:r>
          </w:p>
        </w:tc>
      </w:tr>
      <w:tr w:rsidR="00E03FB6" w:rsidRPr="00E03FB6" w:rsidTr="00E03FB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213 373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+ 3,7</w:t>
            </w:r>
          </w:p>
        </w:tc>
      </w:tr>
      <w:tr w:rsidR="00E03FB6" w:rsidRPr="00E03FB6" w:rsidTr="00E03FB6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FB6" w:rsidRPr="00E03FB6" w:rsidTr="00E03FB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863 850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+ 9,3</w:t>
            </w:r>
          </w:p>
        </w:tc>
      </w:tr>
      <w:tr w:rsidR="00E03FB6" w:rsidRPr="00E03FB6" w:rsidTr="00E03FB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03FB6" w:rsidRPr="00E03FB6" w:rsidTr="00E03FB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40 887 700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40 887 700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+ 18,2</w:t>
            </w:r>
          </w:p>
        </w:tc>
      </w:tr>
      <w:tr w:rsidR="00E03FB6" w:rsidRPr="00E03FB6" w:rsidTr="00E03FB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b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11 016 870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10 210 487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+ 369,9</w:t>
            </w:r>
          </w:p>
        </w:tc>
      </w:tr>
      <w:tr w:rsidR="00E03FB6" w:rsidRPr="00E03FB6" w:rsidTr="00E03FB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sz w:val="18"/>
                <w:szCs w:val="18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hAnsi="Liberation Serif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2 437 300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2 233 839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- 339,3</w:t>
            </w:r>
          </w:p>
        </w:tc>
      </w:tr>
      <w:tr w:rsidR="00E03FB6" w:rsidRPr="00E03FB6" w:rsidTr="00E03FB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E03FB6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8 579 570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7 976 648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+ 526,0</w:t>
            </w:r>
          </w:p>
        </w:tc>
      </w:tr>
      <w:tr w:rsidR="00E03FB6" w:rsidRPr="00E03FB6" w:rsidTr="00E03FB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</w:pPr>
            <w:r w:rsidRPr="00E03FB6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+ 18,8</w:t>
            </w:r>
          </w:p>
        </w:tc>
      </w:tr>
      <w:tr w:rsidR="00E03FB6" w:rsidRPr="00E03FB6" w:rsidTr="00E03FB6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03FB6" w:rsidRDefault="00E03FB6" w:rsidP="00E03FB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308 260 170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222 477 638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B6" w:rsidRPr="00E03FB6" w:rsidRDefault="00E03FB6" w:rsidP="00E03F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03FB6">
              <w:rPr>
                <w:rFonts w:ascii="Liberation Serif" w:eastAsia="Times New Roman" w:hAnsi="Liberation Serif" w:cs="Times New Roman"/>
                <w:b/>
                <w:color w:val="000000" w:themeColor="text1"/>
                <w:sz w:val="18"/>
                <w:szCs w:val="18"/>
                <w:lang w:eastAsia="ru-RU"/>
              </w:rPr>
              <w:t>+ 7,2</w:t>
            </w:r>
          </w:p>
        </w:tc>
      </w:tr>
    </w:tbl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</w:pPr>
      <w:r w:rsidRPr="00E03F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</w:t>
      </w: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>НАЛОГИ НА ДОХОДЫ ФИЗИЧЕСКИХ ЛИЦ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(77,4%) – неисполнение плановых показателей связано с тем, что уменьшились поступления НДФЛ от крупных предприятий, зарегистрированных на территории Гаринского ГО.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(92,9%) – плановые показатели по данному доходу выполнены. 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 НАЛОГИ НА СОВОКУПНЫЙ ДОХОД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(133,9%) – перевыполнение плановых показателей связано тем, что поступили платежи по УСН и ЕНВД за 2020 год.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</w:t>
      </w: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НАЛОГИ НА ИМУЩЕСТВО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(38,4%) – неисполнение плановых показателей связано с уклонением от уплаты налога на имущество физическими лицами.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</w:t>
      </w: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>ЗЕМЕЛЬНЫЙ НАЛО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Г (77,7%) – неисполнение плановых показателей связано с уклонением от уплаты земельного налога физическими лицами.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 ГОСУДАРСТВЕННАЯ ПОШЛИНА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(94,9%) – плановые показатели по данному доходу выполнены.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 ДОХОДЫ ОТ ИСПОЛЬЗОВАНИЯ ИМУЩЕСТВА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(72,3%)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 ПЛАТЕЖИ ПРИ ПОЛЬЗОВАНИИ ПРИРОДНЫМИ РЕСУРСАМИ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(1,3%) –</w:t>
      </w: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 ДОХОДЫ ОТ ОКАЗАНИЯ ПЛАТНЫХ УСЛУГ (РАБОТ)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(69,9%) – неисполнение плановых показателей связано с неуплатой текущих платежей. </w:t>
      </w:r>
    </w:p>
    <w:p w:rsidR="00E03FB6" w:rsidRPr="00DA144E" w:rsidRDefault="00E03FB6" w:rsidP="00E03FB6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 ДОХОДЫ ОТ ПРОДАЖИ МАТЕРИАЛЬНЫХ И НЕМАТЕРИАЛЬНЫХ АКТИВОВ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(124,9%)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</w:t>
      </w:r>
    </w:p>
    <w:p w:rsidR="009A4814" w:rsidRPr="00DA144E" w:rsidRDefault="00E03FB6" w:rsidP="00E03FB6">
      <w:pPr>
        <w:jc w:val="both"/>
        <w:rPr>
          <w:rFonts w:ascii="Liberation Serif" w:hAnsi="Liberation Serif" w:cs="Times New Roman"/>
          <w:b/>
          <w:sz w:val="18"/>
          <w:szCs w:val="18"/>
        </w:rPr>
      </w:pPr>
      <w:r w:rsidRPr="00DA144E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 xml:space="preserve">    ШТРАФЫ, САНКЦИИ, ВОЗМЕЩЕНИЕ УЩЕРБА 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>(116,3%)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  <w:r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ab/>
      </w:r>
      <w:r w:rsidR="008343F7"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BE7EC1"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0D4A12" w:rsidRPr="00DA144E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</w:t>
      </w:r>
      <w:r w:rsidR="00B1487A" w:rsidRPr="00DA144E">
        <w:rPr>
          <w:rFonts w:ascii="Liberation Serif" w:hAnsi="Liberation Serif"/>
          <w:b/>
          <w:sz w:val="18"/>
          <w:szCs w:val="18"/>
        </w:rPr>
        <w:t xml:space="preserve">                  </w:t>
      </w:r>
      <w:r w:rsidR="00821404" w:rsidRPr="00DA144E">
        <w:rPr>
          <w:rFonts w:ascii="Liberation Serif" w:hAnsi="Liberation Serif"/>
          <w:b/>
          <w:sz w:val="18"/>
          <w:szCs w:val="18"/>
        </w:rPr>
        <w:t xml:space="preserve"> </w:t>
      </w:r>
      <w:r w:rsidR="00821404" w:rsidRPr="00DA144E">
        <w:rPr>
          <w:rFonts w:ascii="Liberation Serif" w:hAnsi="Liberation Serif" w:cs="Times New Roman"/>
          <w:b/>
          <w:sz w:val="18"/>
          <w:szCs w:val="18"/>
        </w:rPr>
        <w:t xml:space="preserve">                                                                                    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3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</w:tblGrid>
      <w:tr w:rsidR="00C41EDD" w:rsidRPr="005D78D7" w:rsidTr="00CF578B">
        <w:trPr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10808"/>
              <w:gridCol w:w="250"/>
            </w:tblGrid>
            <w:tr w:rsidR="00A33D8D" w:rsidRPr="005D78D7" w:rsidTr="00E03FB6">
              <w:trPr>
                <w:trHeight w:val="319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Default="00C41EDD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5D78D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ab/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Бюджет Гаринского городского округа по расходам по состоянию на 01.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</w:t>
                  </w:r>
                  <w:r w:rsid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.2021 года исполнен в размере </w:t>
                  </w:r>
                  <w:r w:rsidR="00DA144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208 999 389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рублей, или к годовому назначению 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</w:t>
                  </w:r>
                  <w:r w:rsidR="006A0B83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30 649 977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652F2A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рублей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выполнение составило 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63,2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,</w:t>
                  </w:r>
                  <w:proofErr w:type="gramEnd"/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что </w:t>
                  </w:r>
                  <w:r w:rsidR="006A0B83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ниже установленного норматива  (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87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% ) на </w:t>
                  </w:r>
                  <w:r w:rsidR="006A0B83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3,8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%  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не освоение средств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 сумме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составило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78 666,1</w:t>
                  </w:r>
                  <w:r w:rsidR="00BB4854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тыс. рублей </w:t>
                  </w:r>
                </w:p>
                <w:p w:rsidR="00E03FB6" w:rsidRDefault="00E03FB6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tbl>
                  <w:tblPr>
                    <w:tblW w:w="107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20"/>
                    <w:gridCol w:w="709"/>
                    <w:gridCol w:w="1701"/>
                    <w:gridCol w:w="1701"/>
                    <w:gridCol w:w="1701"/>
                    <w:gridCol w:w="1701"/>
                    <w:gridCol w:w="567"/>
                  </w:tblGrid>
                  <w:tr w:rsidR="00DA144E" w:rsidRPr="00DA144E" w:rsidTr="00DA144E">
                    <w:trPr>
                      <w:trHeight w:val="319"/>
                    </w:trPr>
                    <w:tc>
                      <w:tcPr>
                        <w:tcW w:w="1013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A144E" w:rsidRPr="00DA144E" w:rsidRDefault="003E0BA1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="00DA144E" w:rsidRPr="00DA144E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сполнение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144E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A144E" w:rsidRPr="00DA144E" w:rsidTr="00DA144E">
                    <w:trPr>
                      <w:trHeight w:val="315"/>
                    </w:trPr>
                    <w:tc>
                      <w:tcPr>
                        <w:tcW w:w="1013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144E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30.11.2021г.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144E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A144E" w:rsidRPr="00DA144E" w:rsidTr="00DA144E">
                    <w:trPr>
                      <w:trHeight w:val="255"/>
                    </w:trPr>
                    <w:tc>
                      <w:tcPr>
                        <w:tcW w:w="107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DA144E" w:rsidRPr="00DA144E" w:rsidTr="00DA144E">
                    <w:trPr>
                      <w:trHeight w:val="765"/>
                    </w:trPr>
                    <w:tc>
                      <w:tcPr>
                        <w:tcW w:w="2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DA144E" w:rsidRPr="00DA144E" w:rsidTr="00DA144E">
                    <w:trPr>
                      <w:trHeight w:val="408"/>
                    </w:trPr>
                    <w:tc>
                      <w:tcPr>
                        <w:tcW w:w="2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A144E" w:rsidRPr="00DA144E" w:rsidTr="00DA144E">
                    <w:trPr>
                      <w:trHeight w:val="76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1 555 471,94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1 434 046,55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121 425,39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92,2 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102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2 895 498,77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2 595 379,91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300 118,86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89,6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127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20 832 972,00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20 870 502,00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16 722 156,38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4 148 345,62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80,1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A144E" w:rsidRPr="00DA144E" w:rsidTr="00DA144E">
                    <w:trPr>
                      <w:trHeight w:val="76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8 554 495,00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7 388 689,18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1 165 805,82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86,4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5 256 605,01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5 256 605,01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8 527 370,00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9 017 384,63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7 483 189,29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1 534 195,34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83,0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213 372,57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92 227,43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69,8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A144E" w:rsidRPr="00DA144E" w:rsidTr="00DA144E">
                    <w:trPr>
                      <w:trHeight w:val="102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8 516 208,25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6 480 589,04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2 035 619,21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76,1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76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6 530,00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4 970,00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56,8 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13 534 970,00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5 958 644,91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7 576 325,09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44,0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1 406 264,56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1 137 735,44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55,3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219 598,00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10 181,00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209 417,00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4,6%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701 700,00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2 444 283,00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1 466 855,20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977 427,80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9 387 584,99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4 981 533,60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4 406 051,39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53,1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4 883 800,00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7 198 032,91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3 729 099,49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3 468 933,42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51,8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ind w:left="-182" w:firstLine="182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196 306,80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44 693,20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81,5 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23 278 400,00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23 565 982,50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23 331 469,20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234 513,30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99,0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57 753 229,00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67 965 345,60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53 784 640,42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14 180 705,18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79,1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18 653 345,00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21 470 708,88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15 972 184,69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5 498 524,19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74,4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2 774 200,00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2 374 080,00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1 564 435,00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809 645,00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65,9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11 392 894,00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11 389 505,00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9 659 532,68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1 729 972,32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84,8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27 964 575,00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30 754 680,00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27 092 925,86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3 661 754,14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88,1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5 059 329,45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4 626 126,26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433 203,19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91,4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10 178 552,00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11 963 460,00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9 956 465,01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2 006 994,99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83,2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1 438 411,20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1 377 066,20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61 345,00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95,7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1 116 940,00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1 156 940,00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891 317,63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265 622,37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77,0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264 600,00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244 413,90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20 186,10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92,4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51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425 973,94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24 026,06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94,7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DA144E" w:rsidRPr="00DA144E" w:rsidTr="00DA144E">
                    <w:trPr>
                      <w:trHeight w:val="255"/>
                    </w:trPr>
                    <w:tc>
                      <w:tcPr>
                        <w:tcW w:w="33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296 707 500,00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330 649 977,13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208 999 389,27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121 650 587,86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63,2</w:t>
                        </w:r>
                        <w:r w:rsidRPr="00DA144E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E03FB6" w:rsidRDefault="00E03FB6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p w:rsidR="003E0BA1" w:rsidRDefault="003E0BA1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tbl>
                  <w:tblPr>
                    <w:tblW w:w="1069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03"/>
                    <w:gridCol w:w="1713"/>
                    <w:gridCol w:w="1831"/>
                    <w:gridCol w:w="1701"/>
                    <w:gridCol w:w="1701"/>
                    <w:gridCol w:w="848"/>
                  </w:tblGrid>
                  <w:tr w:rsidR="003E0BA1" w:rsidRPr="003E0BA1" w:rsidTr="006D0FC3">
                    <w:trPr>
                      <w:trHeight w:val="319"/>
                    </w:trPr>
                    <w:tc>
                      <w:tcPr>
                        <w:tcW w:w="984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E0BA1" w:rsidRPr="003E0BA1" w:rsidTr="006D0FC3">
                    <w:trPr>
                      <w:trHeight w:val="315"/>
                    </w:trPr>
                    <w:tc>
                      <w:tcPr>
                        <w:tcW w:w="984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30.11.2021г.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E0BA1" w:rsidRPr="003E0BA1" w:rsidTr="006D0FC3">
                    <w:trPr>
                      <w:trHeight w:val="255"/>
                    </w:trPr>
                    <w:tc>
                      <w:tcPr>
                        <w:tcW w:w="1069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17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3E0BA1" w:rsidRPr="003E0BA1" w:rsidTr="006D0FC3">
                    <w:trPr>
                      <w:trHeight w:val="408"/>
                    </w:trPr>
                    <w:tc>
                      <w:tcPr>
                        <w:tcW w:w="2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3E0BA1" w:rsidRPr="003E0BA1" w:rsidTr="006D0FC3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45 726 986,00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58 242 164,76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35 409 735,37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22 832 429,39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60,80%</w:t>
                        </w:r>
                      </w:p>
                    </w:tc>
                  </w:tr>
                  <w:tr w:rsidR="003E0BA1" w:rsidRPr="003E0BA1" w:rsidTr="006D0FC3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3 023 269,42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340 187,62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89,89%</w:t>
                        </w:r>
                      </w:p>
                    </w:tc>
                  </w:tr>
                  <w:tr w:rsidR="003E0BA1" w:rsidRPr="003E0BA1" w:rsidTr="006D0FC3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1 560 050,52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228 999,48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87,20%</w:t>
                        </w:r>
                      </w:p>
                    </w:tc>
                  </w:tr>
                  <w:tr w:rsidR="003E0BA1" w:rsidRPr="003E0BA1" w:rsidTr="006D0FC3">
                    <w:trPr>
                      <w:trHeight w:val="10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11 535 709,00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12 350 245,34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9 265 953,07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3 084 292,27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75,03%</w:t>
                        </w:r>
                      </w:p>
                    </w:tc>
                  </w:tr>
                  <w:tr w:rsidR="003E0BA1" w:rsidRPr="003E0BA1" w:rsidTr="006D0FC3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87 970 270,00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91 397 768,79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22 967 860,60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68 429 908,19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25,13%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48 584 220,00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58 188 665,26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46 225 762,35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11 962 902,91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79,44%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учреждение  "</w:t>
                        </w:r>
                        <w:proofErr w:type="gramEnd"/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6 355 589,04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840 085,96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88,33%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35 062 026,00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35 349 728,50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33 347 928,08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2 001 800,42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94,34%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19 053 345,00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21 643 408,88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16 144 884,69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5 498 524,19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74,59%</w:t>
                        </w:r>
                      </w:p>
                    </w:tc>
                  </w:tr>
                  <w:tr w:rsidR="003E0BA1" w:rsidRPr="003E0BA1" w:rsidTr="006D0FC3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28 222 575,00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32 925 626,60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27 468 542,65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5 457 083,95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83,43%</w:t>
                        </w:r>
                      </w:p>
                    </w:tc>
                  </w:tr>
                  <w:tr w:rsidR="003E0BA1" w:rsidRPr="003E0BA1" w:rsidTr="006D0FC3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7 229 813,48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974 373,48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88,12%</w:t>
                        </w:r>
                      </w:p>
                    </w:tc>
                  </w:tr>
                  <w:tr w:rsidR="003E0BA1" w:rsidRPr="003E0BA1" w:rsidTr="006D0FC3">
                    <w:trPr>
                      <w:trHeight w:val="25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296 707 500,00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330 649 977,13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208 999 389,27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121 650 587,86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E0BA1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63,21%</w:t>
                        </w:r>
                      </w:p>
                    </w:tc>
                  </w:tr>
                </w:tbl>
                <w:p w:rsidR="003E0BA1" w:rsidRDefault="003E0BA1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p w:rsidR="00E03FB6" w:rsidRPr="00E03FB6" w:rsidRDefault="00E03FB6" w:rsidP="00525814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3D8D" w:rsidRPr="005D78D7" w:rsidTr="00E03FB6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75A" w:rsidRPr="0009075A" w:rsidRDefault="0009075A" w:rsidP="0009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3D8D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Pr="005D78D7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075A" w:rsidRPr="005D78D7" w:rsidRDefault="0009075A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6965" w:rsidRDefault="00A66965">
      <w:pPr>
        <w:rPr>
          <w:rFonts w:ascii="Liberation Serif" w:hAnsi="Liberation Serif" w:cs="Times New Roman"/>
          <w:sz w:val="20"/>
          <w:szCs w:val="20"/>
        </w:rPr>
      </w:pPr>
      <w:r w:rsidRPr="006D0FC3">
        <w:rPr>
          <w:rFonts w:ascii="Liberation Serif" w:hAnsi="Liberation Serif" w:cs="Times New Roman"/>
          <w:sz w:val="20"/>
          <w:szCs w:val="20"/>
        </w:rPr>
        <w:lastRenderedPageBreak/>
        <w:t xml:space="preserve">   Задолженность по выплате заработной платы работникам учреждений бюдж</w:t>
      </w:r>
      <w:r w:rsidR="00AF28A0" w:rsidRPr="006D0FC3">
        <w:rPr>
          <w:rFonts w:ascii="Liberation Serif" w:hAnsi="Liberation Serif" w:cs="Times New Roman"/>
          <w:sz w:val="20"/>
          <w:szCs w:val="20"/>
        </w:rPr>
        <w:t>етной сферы по состоянию на 01.</w:t>
      </w:r>
      <w:r w:rsidR="005D78D7" w:rsidRPr="006D0FC3">
        <w:rPr>
          <w:rFonts w:ascii="Liberation Serif" w:hAnsi="Liberation Serif" w:cs="Times New Roman"/>
          <w:sz w:val="20"/>
          <w:szCs w:val="20"/>
        </w:rPr>
        <w:t>1</w:t>
      </w:r>
      <w:r w:rsidR="006D0FC3">
        <w:rPr>
          <w:rFonts w:ascii="Liberation Serif" w:hAnsi="Liberation Serif" w:cs="Times New Roman"/>
          <w:sz w:val="20"/>
          <w:szCs w:val="20"/>
        </w:rPr>
        <w:t>2</w:t>
      </w:r>
      <w:r w:rsidRPr="006D0FC3">
        <w:rPr>
          <w:rFonts w:ascii="Liberation Serif" w:hAnsi="Liberation Serif" w:cs="Times New Roman"/>
          <w:sz w:val="20"/>
          <w:szCs w:val="20"/>
        </w:rPr>
        <w:t>.202</w:t>
      </w:r>
      <w:r w:rsidR="00956A9B" w:rsidRPr="006D0FC3">
        <w:rPr>
          <w:rFonts w:ascii="Liberation Serif" w:hAnsi="Liberation Serif" w:cs="Times New Roman"/>
          <w:sz w:val="20"/>
          <w:szCs w:val="20"/>
        </w:rPr>
        <w:t>1</w:t>
      </w:r>
      <w:r w:rsidRPr="006D0FC3">
        <w:rPr>
          <w:rFonts w:ascii="Liberation Serif" w:hAnsi="Liberation Serif" w:cs="Times New Roman"/>
          <w:sz w:val="20"/>
          <w:szCs w:val="20"/>
        </w:rPr>
        <w:t xml:space="preserve"> года отсутс</w:t>
      </w:r>
      <w:r w:rsidR="00CA40F9" w:rsidRPr="006D0FC3">
        <w:rPr>
          <w:rFonts w:ascii="Liberation Serif" w:hAnsi="Liberation Serif" w:cs="Times New Roman"/>
          <w:sz w:val="20"/>
          <w:szCs w:val="20"/>
        </w:rPr>
        <w:t>т</w:t>
      </w:r>
      <w:r w:rsidRPr="006D0FC3">
        <w:rPr>
          <w:rFonts w:ascii="Liberation Serif" w:hAnsi="Liberation Serif" w:cs="Times New Roman"/>
          <w:sz w:val="20"/>
          <w:szCs w:val="20"/>
        </w:rPr>
        <w:t>вует.</w:t>
      </w:r>
    </w:p>
    <w:p w:rsidR="00394248" w:rsidRPr="00DD5B7D" w:rsidRDefault="00394248" w:rsidP="0039424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D5B7D">
        <w:rPr>
          <w:rFonts w:ascii="Liberation Serif" w:hAnsi="Liberation Serif" w:cs="Times New Roman"/>
          <w:b/>
          <w:sz w:val="24"/>
          <w:szCs w:val="24"/>
        </w:rPr>
        <w:t>Исполнение бюджета в разрезе муниципальных программ за период 01.01.2021г-3</w:t>
      </w:r>
      <w:r w:rsidR="006D0FC3" w:rsidRPr="00DD5B7D">
        <w:rPr>
          <w:rFonts w:ascii="Liberation Serif" w:hAnsi="Liberation Serif" w:cs="Times New Roman"/>
          <w:b/>
          <w:sz w:val="24"/>
          <w:szCs w:val="24"/>
        </w:rPr>
        <w:t>0</w:t>
      </w:r>
      <w:r w:rsidRPr="00DD5B7D">
        <w:rPr>
          <w:rFonts w:ascii="Liberation Serif" w:hAnsi="Liberation Serif" w:cs="Times New Roman"/>
          <w:b/>
          <w:sz w:val="24"/>
          <w:szCs w:val="24"/>
        </w:rPr>
        <w:t>.</w:t>
      </w:r>
      <w:r w:rsidR="00BA14AD" w:rsidRPr="00DD5B7D">
        <w:rPr>
          <w:rFonts w:ascii="Liberation Serif" w:hAnsi="Liberation Serif" w:cs="Times New Roman"/>
          <w:b/>
          <w:sz w:val="24"/>
          <w:szCs w:val="24"/>
        </w:rPr>
        <w:t>1</w:t>
      </w:r>
      <w:r w:rsidR="006D0FC3" w:rsidRPr="00DD5B7D">
        <w:rPr>
          <w:rFonts w:ascii="Liberation Serif" w:hAnsi="Liberation Serif" w:cs="Times New Roman"/>
          <w:b/>
          <w:sz w:val="24"/>
          <w:szCs w:val="24"/>
        </w:rPr>
        <w:t>1</w:t>
      </w:r>
      <w:r w:rsidRPr="00DD5B7D">
        <w:rPr>
          <w:rFonts w:ascii="Liberation Serif" w:hAnsi="Liberation Serif" w:cs="Times New Roman"/>
          <w:b/>
          <w:sz w:val="24"/>
          <w:szCs w:val="24"/>
        </w:rPr>
        <w:t>.2021г</w:t>
      </w:r>
    </w:p>
    <w:tbl>
      <w:tblPr>
        <w:tblW w:w="10609" w:type="dxa"/>
        <w:tblLayout w:type="fixed"/>
        <w:tblLook w:val="04A0" w:firstRow="1" w:lastRow="0" w:firstColumn="1" w:lastColumn="0" w:noHBand="0" w:noVBand="1"/>
      </w:tblPr>
      <w:tblGrid>
        <w:gridCol w:w="10351"/>
        <w:gridCol w:w="258"/>
      </w:tblGrid>
      <w:tr w:rsidR="000E6E60" w:rsidRPr="006D0FC3" w:rsidTr="000E6E60">
        <w:trPr>
          <w:trHeight w:val="205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E6E60" w:rsidRDefault="000E6E60" w:rsidP="000E6E6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      В бюджете Гаринского городского округа по состоянию на 01.1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.2021 г. утвержденные назначения бюджетных ассигнований по муниципальным программам из общей суммы расходов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330 649,9 тыс. руб. со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>став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или 73,4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>%  в</w:t>
            </w:r>
            <w:proofErr w:type="gramEnd"/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сумме  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2 831,8</w:t>
            </w:r>
            <w:r w:rsidRPr="006D0FC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>тыс.</w:t>
            </w:r>
            <w:r w:rsidRPr="006D0FC3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рублей.</w:t>
            </w:r>
            <w:r w:rsidRPr="006D0FC3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января –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составило в размере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48 894,0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рублей,</w:t>
            </w:r>
            <w:r w:rsidRPr="006D0FC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61,3</w:t>
            </w:r>
            <w:proofErr w:type="gramStart"/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>%  от</w:t>
            </w:r>
            <w:proofErr w:type="gramEnd"/>
            <w:r w:rsidRPr="006D0FC3"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утвержденных назначений, в том числе по видам программ:</w:t>
            </w:r>
          </w:p>
          <w:p w:rsidR="000E6E60" w:rsidRPr="006D0FC3" w:rsidRDefault="000E6E60" w:rsidP="000E6E6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0FC3" w:rsidRPr="006D0FC3" w:rsidTr="000E6E60">
        <w:trPr>
          <w:trHeight w:val="187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F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FC3" w:rsidRPr="006D0FC3" w:rsidTr="000E6E60">
        <w:trPr>
          <w:trHeight w:val="185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F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FC3" w:rsidRPr="006D0FC3" w:rsidTr="000E6E60">
        <w:trPr>
          <w:trHeight w:val="149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0E6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6E60" w:rsidRDefault="000E6E60" w:rsidP="006D0FC3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044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602"/>
        <w:gridCol w:w="1650"/>
        <w:gridCol w:w="1420"/>
        <w:gridCol w:w="1733"/>
        <w:gridCol w:w="675"/>
      </w:tblGrid>
      <w:tr w:rsidR="000E6E60" w:rsidRPr="006D0FC3" w:rsidTr="000E6E60">
        <w:trPr>
          <w:trHeight w:val="76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Первоначальная роспись/план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Уточненный лимит БО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0E6E60" w:rsidRPr="006D0FC3" w:rsidTr="000E6E60">
        <w:trPr>
          <w:trHeight w:val="408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5 097 963,00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5 081 909,45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4 648 706,26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433 203,19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91,48%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196 306,80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60 044 693,20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0E6E60" w:rsidRPr="006D0FC3" w:rsidTr="000E6E6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196 306,80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44 693,20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81,46%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2 529 000,00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1 398 657,56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1 130 342,44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55,30%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735 700,00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1 546 492,80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1 215 881,28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330 611,52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78,62%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112 701 568,00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126 122 106,98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103 898 047,99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22 224 058,99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82,38%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21 261 800,00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21 549 382,50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21 549 382,50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56 945 529,00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65 109 586,60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51 381 837,77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13 727 748,83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78,92%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16 478 245,00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19 295 608,88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14 083 395,42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5 212 213,46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72,99%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1 529 276,00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647 824,00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70,24%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2 155 044,00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1 974 201,53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180 842,47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91,61%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4 453 200,00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4 453 200,00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3 722 617,09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730 582,91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83,59%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11 385 694,00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11 382 185,00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9 657 337,68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1 724 847,32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84,85%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167 170,19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121 829,81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57,84%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124 640,19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95 359,81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56,65%</w:t>
            </w:r>
          </w:p>
        </w:tc>
      </w:tr>
      <w:tr w:rsidR="000E6E60" w:rsidRPr="006D0FC3" w:rsidTr="000E6E6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0E6E60" w:rsidRPr="006D0FC3" w:rsidTr="000E6E6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90,00%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50,00%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6 530,00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4 970,00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56,78%</w:t>
            </w:r>
          </w:p>
        </w:tc>
      </w:tr>
      <w:tr w:rsidR="000E6E60" w:rsidRPr="006D0FC3" w:rsidTr="000E6E6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27 936 575,00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30 726 680,00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27 066 925,86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3 659 754,14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88,09%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Подпрограмма  "</w:t>
            </w:r>
            <w:proofErr w:type="gramEnd"/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22 537 575,00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25 241 680,00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22 693 393,05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2 548 286,95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89,90%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5 399 000,00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5 485 000,00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4 373 532,81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1 111 467,19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79,74%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604 300,00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204 300,00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37 354,00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166 946,00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18,28%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264 600,00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244 413,90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20 186,10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92,37%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1 320 533,25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1 195 533,25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9,47%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6 769 466,00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6 765 445,00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5 828 638,66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936 806,34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86,15%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611 166,00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611 166,00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608 666,00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99,59%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6 158 300,00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6 154 279,00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5 219 972,66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934 306,34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84,82%</w:t>
            </w:r>
          </w:p>
        </w:tc>
      </w:tr>
      <w:tr w:rsidR="000E6E60" w:rsidRPr="006D0FC3" w:rsidTr="000E6E6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129 292,24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59 707,76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68,41%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222 092,00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3 633 800,00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3 770 714,71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1 280 569,57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2 490 145,14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33,96%</w:t>
            </w:r>
          </w:p>
        </w:tc>
      </w:tr>
      <w:tr w:rsidR="000E6E60" w:rsidRPr="006D0FC3" w:rsidTr="000E6E6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18 607,00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157 393,00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10,57%</w:t>
            </w:r>
          </w:p>
        </w:tc>
      </w:tr>
      <w:tr w:rsidR="000E6E60" w:rsidRPr="006D0FC3" w:rsidTr="000E6E60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2 292 583,00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892 583,00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61,07%</w:t>
            </w:r>
          </w:p>
        </w:tc>
      </w:tr>
      <w:tr w:rsidR="000E6E60" w:rsidRPr="006D0FC3" w:rsidTr="000E6E60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6E60" w:rsidRPr="000E6E60" w:rsidRDefault="000E6E60" w:rsidP="002E3E67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222 384 464,00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242 831 791,39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148 893 997,51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93 937 793,88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E60" w:rsidRPr="000E6E60" w:rsidRDefault="000E6E60" w:rsidP="002E3E67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6E60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61,32%</w:t>
            </w:r>
          </w:p>
        </w:tc>
      </w:tr>
    </w:tbl>
    <w:p w:rsidR="000E6E60" w:rsidRPr="00CF578B" w:rsidRDefault="000E6E60" w:rsidP="000E6E60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p w:rsidR="000E6E60" w:rsidRPr="00CF578B" w:rsidRDefault="000E6E60" w:rsidP="006D0FC3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sectPr w:rsidR="000E6E60" w:rsidRPr="00CF578B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EA" w:rsidRDefault="007671EA" w:rsidP="00A01D62">
      <w:pPr>
        <w:spacing w:after="0" w:line="240" w:lineRule="auto"/>
      </w:pPr>
      <w:r>
        <w:separator/>
      </w:r>
    </w:p>
  </w:endnote>
  <w:endnote w:type="continuationSeparator" w:id="0">
    <w:p w:rsidR="007671EA" w:rsidRDefault="007671E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6D0FC3" w:rsidRDefault="006D0F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7D" w:rsidRPr="00DD5B7D">
          <w:rPr>
            <w:noProof/>
            <w:lang w:val="ru-RU"/>
          </w:rPr>
          <w:t>8</w:t>
        </w:r>
        <w:r>
          <w:fldChar w:fldCharType="end"/>
        </w:r>
      </w:p>
    </w:sdtContent>
  </w:sdt>
  <w:p w:rsidR="006D0FC3" w:rsidRDefault="006D0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EA" w:rsidRDefault="007671EA" w:rsidP="00A01D62">
      <w:pPr>
        <w:spacing w:after="0" w:line="240" w:lineRule="auto"/>
      </w:pPr>
      <w:r>
        <w:separator/>
      </w:r>
    </w:p>
  </w:footnote>
  <w:footnote w:type="continuationSeparator" w:id="0">
    <w:p w:rsidR="007671EA" w:rsidRDefault="007671E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314D2"/>
    <w:rsid w:val="00055034"/>
    <w:rsid w:val="00065B80"/>
    <w:rsid w:val="00070A6B"/>
    <w:rsid w:val="0009075A"/>
    <w:rsid w:val="00094E25"/>
    <w:rsid w:val="000B4E3B"/>
    <w:rsid w:val="000C47B2"/>
    <w:rsid w:val="000C7260"/>
    <w:rsid w:val="000D4A12"/>
    <w:rsid w:val="000D5620"/>
    <w:rsid w:val="000E6E60"/>
    <w:rsid w:val="00107771"/>
    <w:rsid w:val="00140BF8"/>
    <w:rsid w:val="00143BEC"/>
    <w:rsid w:val="00144FC2"/>
    <w:rsid w:val="00145301"/>
    <w:rsid w:val="0015510A"/>
    <w:rsid w:val="00165A9F"/>
    <w:rsid w:val="001719E2"/>
    <w:rsid w:val="001A1809"/>
    <w:rsid w:val="001C0760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3E0BA1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25814"/>
    <w:rsid w:val="00530C74"/>
    <w:rsid w:val="00531152"/>
    <w:rsid w:val="005458C6"/>
    <w:rsid w:val="005521A8"/>
    <w:rsid w:val="005671E9"/>
    <w:rsid w:val="0058167D"/>
    <w:rsid w:val="0059255C"/>
    <w:rsid w:val="005934D5"/>
    <w:rsid w:val="005A6D6E"/>
    <w:rsid w:val="005C37E4"/>
    <w:rsid w:val="005C4C9D"/>
    <w:rsid w:val="005D78D7"/>
    <w:rsid w:val="005E737D"/>
    <w:rsid w:val="00624EFC"/>
    <w:rsid w:val="00640151"/>
    <w:rsid w:val="00652F2A"/>
    <w:rsid w:val="006640F1"/>
    <w:rsid w:val="00666B62"/>
    <w:rsid w:val="006758B3"/>
    <w:rsid w:val="006762D9"/>
    <w:rsid w:val="006771B2"/>
    <w:rsid w:val="00680E58"/>
    <w:rsid w:val="006948B9"/>
    <w:rsid w:val="006A0B83"/>
    <w:rsid w:val="006D0FC3"/>
    <w:rsid w:val="006E29A0"/>
    <w:rsid w:val="00740921"/>
    <w:rsid w:val="00747CEB"/>
    <w:rsid w:val="00760C15"/>
    <w:rsid w:val="007671EA"/>
    <w:rsid w:val="007728C6"/>
    <w:rsid w:val="007A040D"/>
    <w:rsid w:val="007A2E10"/>
    <w:rsid w:val="007D6DC2"/>
    <w:rsid w:val="00801019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C08F9"/>
    <w:rsid w:val="008D55A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C51EE"/>
    <w:rsid w:val="009D7CA5"/>
    <w:rsid w:val="009E1A63"/>
    <w:rsid w:val="009F3796"/>
    <w:rsid w:val="00A01D62"/>
    <w:rsid w:val="00A15BBD"/>
    <w:rsid w:val="00A329DB"/>
    <w:rsid w:val="00A33D8D"/>
    <w:rsid w:val="00A40878"/>
    <w:rsid w:val="00A6118F"/>
    <w:rsid w:val="00A62A1A"/>
    <w:rsid w:val="00A66965"/>
    <w:rsid w:val="00AA1A75"/>
    <w:rsid w:val="00AA2009"/>
    <w:rsid w:val="00AA7F79"/>
    <w:rsid w:val="00AD4FFC"/>
    <w:rsid w:val="00AD74B7"/>
    <w:rsid w:val="00AE0B79"/>
    <w:rsid w:val="00AE1209"/>
    <w:rsid w:val="00AE41A6"/>
    <w:rsid w:val="00AF28A0"/>
    <w:rsid w:val="00B1487A"/>
    <w:rsid w:val="00B33574"/>
    <w:rsid w:val="00B523BD"/>
    <w:rsid w:val="00BA14AD"/>
    <w:rsid w:val="00BB4854"/>
    <w:rsid w:val="00BB685C"/>
    <w:rsid w:val="00BE251D"/>
    <w:rsid w:val="00BE7EC1"/>
    <w:rsid w:val="00C345E6"/>
    <w:rsid w:val="00C41EDD"/>
    <w:rsid w:val="00C5555B"/>
    <w:rsid w:val="00C74C52"/>
    <w:rsid w:val="00CA40F9"/>
    <w:rsid w:val="00CA7B8E"/>
    <w:rsid w:val="00CB450C"/>
    <w:rsid w:val="00CD3140"/>
    <w:rsid w:val="00CE5D0A"/>
    <w:rsid w:val="00CF578B"/>
    <w:rsid w:val="00CF6804"/>
    <w:rsid w:val="00CF696D"/>
    <w:rsid w:val="00D05EC3"/>
    <w:rsid w:val="00D24FAF"/>
    <w:rsid w:val="00D442EC"/>
    <w:rsid w:val="00D50065"/>
    <w:rsid w:val="00D600CA"/>
    <w:rsid w:val="00D6322C"/>
    <w:rsid w:val="00D6363A"/>
    <w:rsid w:val="00D65DF7"/>
    <w:rsid w:val="00D7654F"/>
    <w:rsid w:val="00D84C7F"/>
    <w:rsid w:val="00DA144E"/>
    <w:rsid w:val="00DB1344"/>
    <w:rsid w:val="00DD5B7D"/>
    <w:rsid w:val="00E03FB6"/>
    <w:rsid w:val="00E24CA3"/>
    <w:rsid w:val="00E2570F"/>
    <w:rsid w:val="00E26ED9"/>
    <w:rsid w:val="00E31CF7"/>
    <w:rsid w:val="00E501E1"/>
    <w:rsid w:val="00E51368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7125-C875-4B95-B56D-65BA1CD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2021-12-10T05:27:00Z</cp:lastPrinted>
  <dcterms:created xsi:type="dcterms:W3CDTF">2021-12-10T05:27:00Z</dcterms:created>
  <dcterms:modified xsi:type="dcterms:W3CDTF">2021-12-10T05:29:00Z</dcterms:modified>
</cp:coreProperties>
</file>