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Pr="002A3775" w:rsidRDefault="00A03E32" w:rsidP="00A03E32">
      <w:pPr>
        <w:jc w:val="center"/>
        <w:rPr>
          <w:b/>
          <w:color w:val="FF0000"/>
          <w:spacing w:val="-7"/>
          <w:sz w:val="22"/>
          <w:szCs w:val="22"/>
        </w:rPr>
      </w:pPr>
      <w:r w:rsidRPr="002A3775">
        <w:rPr>
          <w:b/>
          <w:color w:val="FF0000"/>
          <w:spacing w:val="-7"/>
          <w:sz w:val="22"/>
          <w:szCs w:val="22"/>
        </w:rPr>
        <w:t>ПРОЕКТ</w:t>
      </w:r>
      <w:r w:rsidR="002A3775" w:rsidRPr="002A3775">
        <w:rPr>
          <w:b/>
          <w:color w:val="FF0000"/>
          <w:spacing w:val="-7"/>
          <w:sz w:val="22"/>
          <w:szCs w:val="22"/>
        </w:rPr>
        <w:t xml:space="preserve"> </w:t>
      </w:r>
      <w:r w:rsidR="001B4CAC">
        <w:rPr>
          <w:b/>
          <w:color w:val="FF0000"/>
          <w:spacing w:val="-7"/>
          <w:sz w:val="22"/>
          <w:szCs w:val="22"/>
        </w:rPr>
        <w:t xml:space="preserve">Перечня </w:t>
      </w:r>
      <w:r w:rsidR="002A3775" w:rsidRPr="002A3775">
        <w:rPr>
          <w:b/>
          <w:color w:val="FF0000"/>
          <w:spacing w:val="-7"/>
          <w:sz w:val="22"/>
          <w:szCs w:val="22"/>
        </w:rPr>
        <w:t>на 2024 и на перспективу</w:t>
      </w:r>
    </w:p>
    <w:p w:rsidR="00E84869" w:rsidRDefault="00E84869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7"/>
        <w:gridCol w:w="1593"/>
        <w:gridCol w:w="455"/>
        <w:gridCol w:w="1375"/>
      </w:tblGrid>
      <w:tr w:rsidR="00E84869" w:rsidTr="00576C1A">
        <w:trPr>
          <w:trHeight w:val="389"/>
          <w:jc w:val="center"/>
        </w:trPr>
        <w:tc>
          <w:tcPr>
            <w:tcW w:w="147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 w:rsidTr="00576C1A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 w:rsidTr="00576C1A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4CAC" w:rsidTr="00576C1A">
        <w:trPr>
          <w:trHeight w:val="518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 w:rsidP="00576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76C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-2027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noProof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D4C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CD4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– </w:t>
            </w:r>
            <w:proofErr w:type="gramEnd"/>
          </w:p>
          <w:p w:rsidR="00576C1A" w:rsidRDefault="00576C1A" w:rsidP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предполагаемых  видов комплекса работ,  прилагается)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A1274" w:rsidRDefault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A1274" w:rsidRPr="005A1274" w:rsidRDefault="005A1274" w:rsidP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5A1274">
              <w:rPr>
                <w:sz w:val="24"/>
                <w:szCs w:val="24"/>
              </w:rPr>
              <w:t>(на рассмотрении)</w:t>
            </w:r>
          </w:p>
          <w:p w:rsidR="005A1274" w:rsidRDefault="005A1274" w:rsidP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5A1274">
              <w:rPr>
                <w:sz w:val="24"/>
                <w:szCs w:val="24"/>
              </w:rPr>
              <w:t>.п.г.т.Гари ул.Молодежная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2A3775" w:rsidRDefault="00576C1A">
            <w:pPr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     Установка детского игрового и спортивного оборудования:</w:t>
            </w:r>
          </w:p>
          <w:p w:rsidR="00576C1A" w:rsidRPr="002A3775" w:rsidRDefault="00576C1A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576C1A" w:rsidRPr="002A3775" w:rsidRDefault="00576C1A">
            <w:pPr>
              <w:rPr>
                <w:sz w:val="22"/>
                <w:szCs w:val="22"/>
                <w:lang w:eastAsia="en-US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576C1A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Содержание детских площадок: 60,8  тыс. руб. (0,2 ставки, уборка мусора, снега). </w:t>
            </w:r>
          </w:p>
          <w:p w:rsidR="00576C1A" w:rsidRDefault="00576C1A" w:rsidP="008B656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576C1A" w:rsidRDefault="00576C1A" w:rsidP="008B656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576C1A" w:rsidRDefault="00576C1A" w:rsidP="008B65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D4C90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 w:rsidP="00CD4C9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576C1A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Pr="002A3775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2A3775">
              <w:rPr>
                <w:rFonts w:ascii="Liberation Serif" w:hAnsi="Liberation Serif"/>
                <w:i/>
                <w:color w:val="FF0000"/>
                <w:sz w:val="22"/>
                <w:szCs w:val="22"/>
              </w:rPr>
              <w:t>Перечень на рассмотрении: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2024</w:t>
            </w:r>
          </w:p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</w:tr>
      <w:tr w:rsidR="00576C1A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8B656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053F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, (асфальтом от д.№15 до д.№35а (напротив школы до метеостанции))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053F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частично</w:t>
            </w:r>
          </w:p>
          <w:p w:rsidR="00576C1A" w:rsidRDefault="00576C1A" w:rsidP="00053F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ул.Колхозная  (напротив МУП от д.№ 29 до д.№37)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сной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ул.Зеленая (500пм)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576C1A" w:rsidRDefault="00576C1A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3B5C7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576C1A" w:rsidRDefault="00576C1A" w:rsidP="003B5C7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дер.Поспелова до дер.Лебедева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д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.Л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обанова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сгоревших  построек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02672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02570D" w:rsidRDefault="00576C1A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>Расходы, согласно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02570D" w:rsidRDefault="00576C1A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02672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мешки для мусора: на 120 л. 40шт. по 85р=3400р. Услуги автомашины ГАЗ САЗ за 1 час 1504,56х3 ч=4513,68 р.  /ежегодно по 8,0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437E4B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lastRenderedPageBreak/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437E4B" w:rsidRDefault="00576C1A">
            <w:pPr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437E4B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4881,0 тыс. руб., 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из расчета: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437E4B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40*115*1,061 = 4881,0 тыс. руб.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Услуги автомашины 6412,2 тыс. руб.,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576C1A" w:rsidRPr="00437E4B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576C1A" w:rsidRPr="00437E4B" w:rsidRDefault="00576C1A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7239ED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color w:val="C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7239ED" w:rsidRDefault="00576C1A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7239ED" w:rsidRDefault="00576C1A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7239ED" w:rsidRDefault="00576C1A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576C1A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576C1A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576C1A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576C1A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576C1A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76C1A" w:rsidRDefault="00576C1A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rFonts w:ascii="Liberation Serif" w:hAnsi="Liberation Serif"/>
              </w:rPr>
            </w:pPr>
          </w:p>
          <w:p w:rsidR="00576C1A" w:rsidRDefault="00576C1A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576C1A" w:rsidRDefault="00576C1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576C1A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76C1A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76C1A" w:rsidTr="0002672B">
        <w:trPr>
          <w:trHeight w:val="32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C1A" w:rsidTr="00AC5C90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</w:t>
            </w:r>
            <w:r>
              <w:rPr>
                <w:sz w:val="22"/>
                <w:szCs w:val="22"/>
              </w:rPr>
              <w:lastRenderedPageBreak/>
              <w:t xml:space="preserve">системам жизнеобеспечения, </w:t>
            </w:r>
          </w:p>
          <w:p w:rsidR="00576C1A" w:rsidRDefault="00576C1A" w:rsidP="001B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  <w:p w:rsidR="00576C1A" w:rsidRDefault="00576C1A" w:rsidP="001B4C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576C1A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76C1A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76C1A" w:rsidTr="00AC5C90">
        <w:trPr>
          <w:trHeight w:val="1344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CD4C90" w:rsidRDefault="00576C1A" w:rsidP="00CD4C90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>-1</w:t>
            </w:r>
            <w:r w:rsidR="00CD4C90">
              <w:rPr>
                <w:rFonts w:ascii="Liberation Serif" w:eastAsia="Calibri" w:hAnsi="Liberation Serif" w:cs="Calibri"/>
                <w:lang w:eastAsia="en-US"/>
              </w:rPr>
              <w:t xml:space="preserve"> с вывозом порубочного материала,  с учетом </w:t>
            </w:r>
            <w:r w:rsidR="00CD4C90"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576C1A" w:rsidRDefault="00CD4C90" w:rsidP="00CD4C90">
            <w:pPr>
              <w:spacing w:line="259" w:lineRule="auto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CD4C9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76C1A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576C1A" w:rsidRDefault="00576C1A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576C1A" w:rsidRDefault="00576C1A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576C1A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76C1A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1B4CAC" w:rsidRDefault="00576C1A">
            <w:pPr>
              <w:rPr>
                <w:sz w:val="22"/>
                <w:szCs w:val="22"/>
              </w:rPr>
            </w:pPr>
            <w:r w:rsidRPr="001B4CAC">
              <w:rPr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576C1A" w:rsidRDefault="00576C1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F79B681" wp14:editId="1B5B2884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2E0588" wp14:editId="6796E102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576C1A" w:rsidRDefault="00576C1A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576C1A" w:rsidRDefault="00576C1A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576C1A" w:rsidRDefault="00576C1A" w:rsidP="00CD4C90">
            <w:pPr>
              <w:jc w:val="both"/>
              <w:rPr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576C1A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576C1A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576C1A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576C1A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576C1A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576C1A" w:rsidRDefault="00576C1A">
            <w:pPr>
              <w:rPr>
                <w:sz w:val="22"/>
                <w:szCs w:val="22"/>
              </w:rPr>
            </w:pPr>
          </w:p>
          <w:p w:rsidR="00576C1A" w:rsidRDefault="00576C1A">
            <w:pPr>
              <w:rPr>
                <w:sz w:val="22"/>
                <w:szCs w:val="22"/>
              </w:rPr>
            </w:pPr>
          </w:p>
          <w:p w:rsidR="00576C1A" w:rsidRDefault="00576C1A">
            <w:pPr>
              <w:rPr>
                <w:sz w:val="22"/>
                <w:szCs w:val="22"/>
              </w:rPr>
            </w:pPr>
          </w:p>
          <w:p w:rsidR="00576C1A" w:rsidRDefault="00576C1A">
            <w:pPr>
              <w:rPr>
                <w:sz w:val="22"/>
                <w:szCs w:val="22"/>
              </w:rPr>
            </w:pPr>
          </w:p>
          <w:p w:rsidR="00576C1A" w:rsidRDefault="00576C1A">
            <w:pPr>
              <w:rPr>
                <w:sz w:val="22"/>
                <w:szCs w:val="22"/>
              </w:rPr>
            </w:pPr>
          </w:p>
          <w:p w:rsidR="00576C1A" w:rsidRDefault="00576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6C1A" w:rsidRDefault="00576C1A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43092F" wp14:editId="00C4026E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2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14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2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3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44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B3" w:rsidRDefault="006168B3">
      <w:r>
        <w:separator/>
      </w:r>
    </w:p>
  </w:endnote>
  <w:endnote w:type="continuationSeparator" w:id="0">
    <w:p w:rsidR="006168B3" w:rsidRDefault="006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B3" w:rsidRDefault="006168B3">
      <w:r>
        <w:separator/>
      </w:r>
    </w:p>
  </w:footnote>
  <w:footnote w:type="continuationSeparator" w:id="0">
    <w:p w:rsidR="006168B3" w:rsidRDefault="0061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672B"/>
    <w:rsid w:val="00030A25"/>
    <w:rsid w:val="00040339"/>
    <w:rsid w:val="00053F91"/>
    <w:rsid w:val="00070A3B"/>
    <w:rsid w:val="00087AAC"/>
    <w:rsid w:val="0012056A"/>
    <w:rsid w:val="00187ED2"/>
    <w:rsid w:val="001A045E"/>
    <w:rsid w:val="001B4CAC"/>
    <w:rsid w:val="001C6DE8"/>
    <w:rsid w:val="001F7D6B"/>
    <w:rsid w:val="002137A4"/>
    <w:rsid w:val="00232402"/>
    <w:rsid w:val="00232AF4"/>
    <w:rsid w:val="00242C69"/>
    <w:rsid w:val="002630A0"/>
    <w:rsid w:val="00263900"/>
    <w:rsid w:val="00295110"/>
    <w:rsid w:val="002A3775"/>
    <w:rsid w:val="002B1A66"/>
    <w:rsid w:val="002D36F9"/>
    <w:rsid w:val="002F4D21"/>
    <w:rsid w:val="00344121"/>
    <w:rsid w:val="00347A61"/>
    <w:rsid w:val="00361B08"/>
    <w:rsid w:val="003864EB"/>
    <w:rsid w:val="003B0353"/>
    <w:rsid w:val="003B5C7A"/>
    <w:rsid w:val="003D31AE"/>
    <w:rsid w:val="00404445"/>
    <w:rsid w:val="00437E4B"/>
    <w:rsid w:val="0045109A"/>
    <w:rsid w:val="004758EF"/>
    <w:rsid w:val="004D08EA"/>
    <w:rsid w:val="005051AA"/>
    <w:rsid w:val="00576C1A"/>
    <w:rsid w:val="0057759D"/>
    <w:rsid w:val="005A1274"/>
    <w:rsid w:val="00611059"/>
    <w:rsid w:val="006168B3"/>
    <w:rsid w:val="00624DAE"/>
    <w:rsid w:val="0062563A"/>
    <w:rsid w:val="006478E1"/>
    <w:rsid w:val="00664043"/>
    <w:rsid w:val="00702FDA"/>
    <w:rsid w:val="007239ED"/>
    <w:rsid w:val="007323FD"/>
    <w:rsid w:val="007377D2"/>
    <w:rsid w:val="0079666E"/>
    <w:rsid w:val="007A68EA"/>
    <w:rsid w:val="007B2AD7"/>
    <w:rsid w:val="00822388"/>
    <w:rsid w:val="008333A5"/>
    <w:rsid w:val="00835782"/>
    <w:rsid w:val="008B6568"/>
    <w:rsid w:val="00914482"/>
    <w:rsid w:val="0092255A"/>
    <w:rsid w:val="00930E3C"/>
    <w:rsid w:val="00983FC7"/>
    <w:rsid w:val="009B444F"/>
    <w:rsid w:val="009C2890"/>
    <w:rsid w:val="00A03E32"/>
    <w:rsid w:val="00A61984"/>
    <w:rsid w:val="00A619AF"/>
    <w:rsid w:val="00A97059"/>
    <w:rsid w:val="00AA5B8B"/>
    <w:rsid w:val="00AA73A6"/>
    <w:rsid w:val="00AC5C90"/>
    <w:rsid w:val="00B9574A"/>
    <w:rsid w:val="00C5217C"/>
    <w:rsid w:val="00CD4C90"/>
    <w:rsid w:val="00D0222F"/>
    <w:rsid w:val="00D14E9D"/>
    <w:rsid w:val="00D44E7F"/>
    <w:rsid w:val="00DC1D9F"/>
    <w:rsid w:val="00DC4FE7"/>
    <w:rsid w:val="00E45B80"/>
    <w:rsid w:val="00E60F07"/>
    <w:rsid w:val="00E64B69"/>
    <w:rsid w:val="00E84869"/>
    <w:rsid w:val="00F02D45"/>
    <w:rsid w:val="00F20CB7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png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wmf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wmf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ozmarket24.ru/katalog/skameyki-i-lavki/chugunnyie-parkovyie-skameyki" TargetMode="External"/><Relationship Id="rId22" Type="http://schemas.openxmlformats.org/officeDocument/2006/relationships/image" Target="media/image12.wmf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A555-996E-4BA9-8E50-44C313F7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6</cp:revision>
  <cp:lastPrinted>2023-06-26T06:20:00Z</cp:lastPrinted>
  <dcterms:created xsi:type="dcterms:W3CDTF">2023-09-14T07:51:00Z</dcterms:created>
  <dcterms:modified xsi:type="dcterms:W3CDTF">2023-09-14T09:47:00Z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