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00"/>
          <w:position w:val="0"/>
          <w:sz w:val="22"/>
          <w:shd w:fill="auto" w:val="clear"/>
        </w:rPr>
      </w:pPr>
      <w:r>
        <w:object w:dxaOrig="753" w:dyaOrig="987">
          <v:rect xmlns:o="urn:schemas-microsoft-com:office:office" xmlns:v="urn:schemas-microsoft-com:vml" id="rectole0000000000" style="width:37.650000pt;height:4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28"/>
          <w:shd w:fill="auto" w:val="clear"/>
        </w:rPr>
        <w:t xml:space="preserve">ПОСТАНОВЛЕНИЕ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 ГАРИНСКОГО ГОРОДСКОГО ОКРУГА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70" w:type="dxa"/>
      </w:tblPr>
      <w:tblGrid>
        <w:gridCol w:w="935"/>
        <w:gridCol w:w="1967"/>
        <w:gridCol w:w="567"/>
        <w:gridCol w:w="1984"/>
        <w:gridCol w:w="1013"/>
        <w:gridCol w:w="1807"/>
        <w:gridCol w:w="266"/>
        <w:gridCol w:w="691"/>
        <w:gridCol w:w="691"/>
        <w:gridCol w:w="1187"/>
      </w:tblGrid>
      <w:tr>
        <w:trPr>
          <w:trHeight w:val="1" w:hRule="atLeast"/>
          <w:jc w:val="left"/>
        </w:trPr>
        <w:tc>
          <w:tcPr>
            <w:tcW w:w="9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9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98</w:t>
            </w:r>
          </w:p>
        </w:tc>
        <w:tc>
          <w:tcPr>
            <w:tcW w:w="2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0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п.г.т. Гари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5" w:hRule="auto"/>
          <w:jc w:val="left"/>
        </w:trPr>
        <w:tc>
          <w:tcPr>
            <w:tcW w:w="111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6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 введении на территории Гаринского городского округа особого противопожарного режима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требованиями статьи 6, статьи 19 и статьи 30 Федерального закона от 21декабря 1994 № 69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Свердловской области от 28.02.2005г № 139-ПП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Свердловской областной подсистеме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 Уставом Гаринского городского округа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с  15.04.2020 года особый противопожарный режим на территории Гаринского городского округа для стабилизации обстановки с предотвращением возникновения лесных пожаров и ликвидации угрозы населенным пунктам, расположенным на территории Гаринского городского округа от пожаров.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Запретить отжиг травы и стерни на территориях, прилегающих к землям лесного фонда и потенциально- опасных объектов.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Ограничить въезд транспортных средств и посещение гражданами лесной зоны.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Уточнить планы привлечения сил и средств, порядок взаимодействия  между заинтересованными ведомствами на тушения лесных и торфяных пожаров.</w:t>
      </w:r>
    </w:p>
    <w:p>
      <w:pPr>
        <w:tabs>
          <w:tab w:val="decimal" w:pos="993" w:leader="none"/>
        </w:tabs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работу патрульных групп  для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контроль устойчивого функционирования систем оповещения населения в случае возникновения угрозы чрезвычайной ситуации и перехода возможных пожаров на территории населенных пунктов.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главы администрации Гаринского городского округа Егорычеву И.А.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необходимости  привлекать на договорной основе инженерную, автомобильную технику и водный транспорт для перевозок и выполнения работ, связанных с предотвращением возникновения чрезвычайных ситуаций природного и техногенного характера.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заправки привлекаемой инженерной и автомобильной техники  иметь постоянный запас горюче- смазочных материалов.</w:t>
      </w:r>
    </w:p>
    <w:p>
      <w:pPr>
        <w:tabs>
          <w:tab w:val="left" w:pos="1134" w:leader="none"/>
        </w:tabs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места для забора воды привлекаемыми подразделениями для локализации и ликвидации лесных пожаров.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дополнительные меры, препятствующих строительству на территории, прилегающей к лесу,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предприятий и организаций всех форм собственности на территории Гаринского городского округа в период действия особого противопожарного режима 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(обнародовать)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Гаринского городского округа                                 </w:t>
        <w:tab/>
        <w:tab/>
        <w:t xml:space="preserve">С.Е. Величко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