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7C31D4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Default="00F8518A">
      <w:pPr>
        <w:jc w:val="center"/>
        <w:rPr>
          <w:b/>
          <w:sz w:val="24"/>
        </w:rPr>
      </w:pPr>
    </w:p>
    <w:p w:rsidR="007C31D4" w:rsidRDefault="007C31D4" w:rsidP="007C31D4">
      <w:pPr>
        <w:spacing w:before="100" w:beforeAutospacing="1" w:after="100" w:afterAutospacing="1"/>
        <w:jc w:val="center"/>
        <w:outlineLvl w:val="0"/>
        <w:rPr>
          <w:b/>
          <w:bCs/>
          <w:color w:val="000000" w:themeColor="text1"/>
          <w:kern w:val="36"/>
          <w:szCs w:val="28"/>
        </w:rPr>
      </w:pPr>
      <w:r>
        <w:rPr>
          <w:b/>
          <w:szCs w:val="28"/>
        </w:rPr>
        <w:t xml:space="preserve">Тема: </w:t>
      </w:r>
      <w:r>
        <w:rPr>
          <w:b/>
          <w:bCs/>
          <w:color w:val="000000" w:themeColor="text1"/>
          <w:kern w:val="36"/>
          <w:szCs w:val="28"/>
        </w:rPr>
        <w:t>Началась рассылка уведомлений на уплату имущественных налогов</w:t>
      </w:r>
    </w:p>
    <w:p w:rsidR="007C31D4" w:rsidRDefault="007C31D4" w:rsidP="007C31D4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информирует плательщиков о произведении расчетов имущественных налогов за 2019 год. </w:t>
      </w:r>
    </w:p>
    <w:p w:rsidR="007C31D4" w:rsidRDefault="007C31D4" w:rsidP="007C31D4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Налоговые документы владельцам земельных участков, объектов недвижимого имущества, транспортных средств направляются по почте заказными письмами или размещаются в их </w:t>
      </w:r>
      <w:hyperlink r:id="rId7" w:tgtFrame="_blank" w:history="1">
        <w:r>
          <w:rPr>
            <w:rStyle w:val="af"/>
            <w:color w:val="000000" w:themeColor="text1"/>
            <w:szCs w:val="28"/>
          </w:rPr>
          <w:t>Личных кабинетах налогоплательщиков</w:t>
        </w:r>
      </w:hyperlink>
      <w:r>
        <w:rPr>
          <w:color w:val="000000" w:themeColor="text1"/>
          <w:szCs w:val="28"/>
        </w:rPr>
        <w:t>.</w:t>
      </w:r>
    </w:p>
    <w:p w:rsidR="007C31D4" w:rsidRDefault="007C31D4" w:rsidP="007C31D4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2020 году оплатить налоги на недвижимое имущество и транспортные средства необходимо в срок не позднее 1 декабря 2020 года. </w:t>
      </w:r>
    </w:p>
    <w:p w:rsidR="007C31D4" w:rsidRDefault="007C31D4" w:rsidP="007C31D4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Разобраться в налоговых уведомлениях 2020 года гражданам поможет </w:t>
      </w:r>
      <w:hyperlink r:id="rId8" w:tgtFrame="_blank" w:history="1">
        <w:proofErr w:type="gramStart"/>
        <w:r>
          <w:rPr>
            <w:rStyle w:val="af"/>
            <w:color w:val="000000" w:themeColor="text1"/>
            <w:szCs w:val="28"/>
          </w:rPr>
          <w:t>специальная</w:t>
        </w:r>
        <w:proofErr w:type="gramEnd"/>
        <w:r>
          <w:rPr>
            <w:rStyle w:val="af"/>
            <w:color w:val="000000" w:themeColor="text1"/>
            <w:szCs w:val="28"/>
          </w:rPr>
          <w:t xml:space="preserve"> промо-страница</w:t>
        </w:r>
      </w:hyperlink>
      <w:r>
        <w:rPr>
          <w:color w:val="000000" w:themeColor="text1"/>
          <w:szCs w:val="28"/>
        </w:rPr>
        <w:t xml:space="preserve">, созданная на сайте ФНС России. Здесь представлены разъяснения по типовым вопросам – жизненным ситуациям: что такое налоговое уведомление, как его получить и исполнить, что делать, если оно не пришло, каковы основные изменения в налогообложении имущества физлиц по сравнению с прошлым годом, где можно узнать о налоговых ставках и льготах, указанных в уведомлении, и как ими воспользоваться. </w:t>
      </w:r>
    </w:p>
    <w:p w:rsidR="007C31D4" w:rsidRDefault="007C31D4" w:rsidP="007C31D4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Каждый плательщик имущественных налогов может выбрать наиболее удобный с его точки зрения способ оплаты:</w:t>
      </w:r>
    </w:p>
    <w:p w:rsidR="007C31D4" w:rsidRDefault="007C31D4" w:rsidP="007C31D4">
      <w:pPr>
        <w:numPr>
          <w:ilvl w:val="0"/>
          <w:numId w:val="3"/>
        </w:num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банке или через банкомат - по полученному уведомлению, содержащему сведения для оплаты сумм налогов (QR-код, штрих-код, УИН, банковские реквизиты);</w:t>
      </w:r>
    </w:p>
    <w:p w:rsidR="007C31D4" w:rsidRDefault="007C31D4" w:rsidP="007C31D4">
      <w:pPr>
        <w:numPr>
          <w:ilvl w:val="0"/>
          <w:numId w:val="3"/>
        </w:num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через </w:t>
      </w:r>
      <w:hyperlink r:id="rId9" w:tgtFrame="_blank" w:history="1">
        <w:r>
          <w:rPr>
            <w:rStyle w:val="af"/>
            <w:color w:val="000000" w:themeColor="text1"/>
            <w:szCs w:val="28"/>
          </w:rPr>
          <w:t>«Личный кабинет налогоплательщика физического лица»</w:t>
        </w:r>
      </w:hyperlink>
      <w:r>
        <w:rPr>
          <w:color w:val="000000" w:themeColor="text1"/>
          <w:szCs w:val="28"/>
        </w:rPr>
        <w:t xml:space="preserve"> на </w:t>
      </w:r>
      <w:hyperlink r:id="rId10" w:history="1">
        <w:r>
          <w:rPr>
            <w:rStyle w:val="af"/>
            <w:color w:val="000000" w:themeColor="text1"/>
            <w:szCs w:val="28"/>
          </w:rPr>
          <w:t>сайте</w:t>
        </w:r>
      </w:hyperlink>
      <w:r>
        <w:rPr>
          <w:color w:val="000000" w:themeColor="text1"/>
          <w:szCs w:val="28"/>
        </w:rPr>
        <w:t xml:space="preserve"> ФНС; </w:t>
      </w:r>
    </w:p>
    <w:p w:rsidR="007C31D4" w:rsidRDefault="007C31D4" w:rsidP="007C31D4">
      <w:pPr>
        <w:numPr>
          <w:ilvl w:val="0"/>
          <w:numId w:val="3"/>
        </w:num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через сервис </w:t>
      </w:r>
      <w:hyperlink r:id="rId11" w:tgtFrame="_blank" w:history="1">
        <w:r>
          <w:rPr>
            <w:rStyle w:val="af"/>
            <w:color w:val="000000" w:themeColor="text1"/>
            <w:szCs w:val="28"/>
          </w:rPr>
          <w:t>«Уплата налогов и пошлин»</w:t>
        </w:r>
      </w:hyperlink>
      <w:r>
        <w:rPr>
          <w:color w:val="000000" w:themeColor="text1"/>
          <w:szCs w:val="28"/>
        </w:rPr>
        <w:t xml:space="preserve"> на </w:t>
      </w:r>
      <w:hyperlink r:id="rId12" w:tgtFrame="_blank" w:history="1">
        <w:r>
          <w:rPr>
            <w:rStyle w:val="af"/>
            <w:color w:val="000000" w:themeColor="text1"/>
            <w:szCs w:val="28"/>
          </w:rPr>
          <w:t>сайте</w:t>
        </w:r>
      </w:hyperlink>
      <w:r>
        <w:rPr>
          <w:color w:val="000000" w:themeColor="text1"/>
          <w:szCs w:val="28"/>
        </w:rPr>
        <w:t xml:space="preserve"> ФНС;</w:t>
      </w:r>
    </w:p>
    <w:p w:rsidR="007C31D4" w:rsidRDefault="007C31D4" w:rsidP="007C31D4">
      <w:pPr>
        <w:numPr>
          <w:ilvl w:val="0"/>
          <w:numId w:val="3"/>
        </w:num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воспользоваться Единым налоговым платежом;</w:t>
      </w:r>
    </w:p>
    <w:p w:rsidR="007C31D4" w:rsidRDefault="007C31D4" w:rsidP="007C31D4">
      <w:pPr>
        <w:numPr>
          <w:ilvl w:val="0"/>
          <w:numId w:val="3"/>
        </w:num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оплатить налоговые уведомления сразу же при их получении или в иное удобное для граждан время в отделениях «Почты России».</w:t>
      </w:r>
    </w:p>
    <w:p w:rsidR="007C31D4" w:rsidRDefault="007C31D4" w:rsidP="007C31D4">
      <w:pPr>
        <w:spacing w:after="300"/>
        <w:jc w:val="center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518A" w:rsidRPr="006E1354" w:rsidRDefault="00F8518A" w:rsidP="00271B66">
      <w:pPr>
        <w:spacing w:before="100" w:beforeAutospacing="1" w:after="300"/>
        <w:ind w:firstLine="709"/>
        <w:contextualSpacing/>
        <w:jc w:val="center"/>
        <w:outlineLvl w:val="0"/>
        <w:rPr>
          <w:szCs w:val="28"/>
        </w:rPr>
      </w:pPr>
      <w:bookmarkStart w:id="0" w:name="_GoBack"/>
      <w:bookmarkEnd w:id="0"/>
    </w:p>
    <w:p w:rsidR="00F161DE" w:rsidRPr="006E1354" w:rsidRDefault="00F161DE" w:rsidP="00271B66">
      <w:pPr>
        <w:spacing w:before="100" w:beforeAutospacing="1" w:after="300"/>
        <w:ind w:firstLine="709"/>
        <w:contextualSpacing/>
        <w:jc w:val="center"/>
        <w:outlineLvl w:val="0"/>
        <w:rPr>
          <w:szCs w:val="28"/>
        </w:rPr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2517DD"/>
    <w:rsid w:val="00271B66"/>
    <w:rsid w:val="0028786E"/>
    <w:rsid w:val="002B4FF2"/>
    <w:rsid w:val="00375D2C"/>
    <w:rsid w:val="00500292"/>
    <w:rsid w:val="005E7457"/>
    <w:rsid w:val="006E1354"/>
    <w:rsid w:val="007C31D4"/>
    <w:rsid w:val="008D6C7C"/>
    <w:rsid w:val="00922456"/>
    <w:rsid w:val="00CF47BF"/>
    <w:rsid w:val="00D01D7F"/>
    <w:rsid w:val="00E232C6"/>
    <w:rsid w:val="00F161DE"/>
    <w:rsid w:val="00F8518A"/>
    <w:rsid w:val="00F97716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57/snu202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12" Type="http://schemas.openxmlformats.org/officeDocument/2006/relationships/hyperlink" Target="https://www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hyperlink" Target="https://service.nalog.ru/payment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2.nalo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23</cp:revision>
  <dcterms:created xsi:type="dcterms:W3CDTF">2020-06-17T08:48:00Z</dcterms:created>
  <dcterms:modified xsi:type="dcterms:W3CDTF">2020-10-02T09:06:00Z</dcterms:modified>
</cp:coreProperties>
</file>