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83D2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83D22" w:rsidRDefault="00983D22" w:rsidP="00983D22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>Для проверки налоговой задолженности пользуйтесь государственными сервисами</w:t>
      </w:r>
    </w:p>
    <w:p w:rsidR="00983D22" w:rsidRDefault="00983D22" w:rsidP="00983D22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</w:p>
    <w:p w:rsidR="00983D22" w:rsidRDefault="00983D22" w:rsidP="00983D22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налоговые органы приступили к процедуре взыскания задолженности у тех налогоплательщиков-физических лиц, кто не оплатил налоговые начисления по сроку 1 декабря 2021 года: требования об уплате недоимки размещены в личных кабинетах налогоплательщиков и направляются по почте.</w:t>
      </w:r>
    </w:p>
    <w:p w:rsidR="00983D22" w:rsidRDefault="00983D22" w:rsidP="00983D2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Несвоевременная оплата налоговых платежей может повлечь арест имущества и счетов в банке.</w:t>
      </w:r>
    </w:p>
    <w:p w:rsidR="00983D22" w:rsidRDefault="00983D22" w:rsidP="00983D2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Следить за отсутствием налоговой задолженности перед государством во избежание последствий ее взыскания удобно с помощью </w:t>
      </w:r>
      <w:hyperlink r:id="rId7" w:history="1">
        <w:r>
          <w:rPr>
            <w:rStyle w:val="af"/>
            <w:color w:val="000000" w:themeColor="text1"/>
            <w:szCs w:val="28"/>
          </w:rPr>
          <w:t>Единого портала государственных услуг</w:t>
        </w:r>
      </w:hyperlink>
      <w:r>
        <w:rPr>
          <w:color w:val="000000" w:themeColor="text1"/>
          <w:szCs w:val="28"/>
        </w:rPr>
        <w:t xml:space="preserve"> и </w:t>
      </w:r>
      <w:hyperlink r:id="rId8" w:history="1">
        <w:r>
          <w:rPr>
            <w:rStyle w:val="af"/>
            <w:color w:val="000000" w:themeColor="text1"/>
            <w:szCs w:val="28"/>
          </w:rPr>
          <w:t>сервисов</w:t>
        </w:r>
      </w:hyperlink>
      <w:r>
        <w:rPr>
          <w:color w:val="000000" w:themeColor="text1"/>
          <w:szCs w:val="28"/>
        </w:rPr>
        <w:t xml:space="preserve"> официального сайта ФНС России </w:t>
      </w:r>
      <w:hyperlink r:id="rId9" w:history="1">
        <w:r>
          <w:rPr>
            <w:rStyle w:val="af"/>
            <w:color w:val="000000" w:themeColor="text1"/>
            <w:szCs w:val="28"/>
          </w:rPr>
          <w:t>www.nalog.gov.ru</w:t>
        </w:r>
      </w:hyperlink>
      <w:r>
        <w:rPr>
          <w:color w:val="000000" w:themeColor="text1"/>
          <w:szCs w:val="28"/>
        </w:rPr>
        <w:t xml:space="preserve">. </w:t>
      </w:r>
    </w:p>
    <w:p w:rsidR="00983D22" w:rsidRDefault="00983D22" w:rsidP="00983D22">
      <w:pPr>
        <w:ind w:firstLine="709"/>
        <w:jc w:val="both"/>
        <w:rPr>
          <w:color w:val="000000" w:themeColor="text1"/>
          <w:szCs w:val="28"/>
        </w:rPr>
      </w:pPr>
      <w:hyperlink r:id="rId10" w:history="1">
        <w:r>
          <w:rPr>
            <w:rStyle w:val="af"/>
            <w:color w:val="000000" w:themeColor="text1"/>
            <w:szCs w:val="28"/>
          </w:rPr>
          <w:t>Единый портал государственных услуг</w:t>
        </w:r>
      </w:hyperlink>
      <w:r>
        <w:rPr>
          <w:color w:val="000000" w:themeColor="text1"/>
          <w:szCs w:val="28"/>
        </w:rPr>
        <w:t xml:space="preserve"> позволяет физическим лицам не только проверить, но и оплатить налоговую задолженность. Услуга для зарегистрированных пользователей доступна в разделе «</w:t>
      </w:r>
      <w:hyperlink r:id="rId11" w:history="1">
        <w:r>
          <w:rPr>
            <w:rStyle w:val="af"/>
            <w:color w:val="000000" w:themeColor="text1"/>
            <w:szCs w:val="28"/>
          </w:rPr>
          <w:t>Налоговая задолженность</w:t>
        </w:r>
      </w:hyperlink>
      <w:r>
        <w:rPr>
          <w:color w:val="000000" w:themeColor="text1"/>
          <w:szCs w:val="28"/>
        </w:rPr>
        <w:t>».</w:t>
      </w:r>
    </w:p>
    <w:p w:rsidR="00983D22" w:rsidRDefault="00983D22" w:rsidP="00983D2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Проверка актуальности данных о начисленных и уплаченных налогах доступна и в сервисе ФНС России «</w:t>
      </w:r>
      <w:hyperlink r:id="rId12" w:history="1">
        <w:r>
          <w:rPr>
            <w:rStyle w:val="af"/>
            <w:color w:val="000000" w:themeColor="text1"/>
            <w:szCs w:val="28"/>
          </w:rPr>
          <w:t>Личный кабинет налогоплательщика для физических лиц</w:t>
        </w:r>
      </w:hyperlink>
      <w:r>
        <w:rPr>
          <w:color w:val="000000" w:themeColor="text1"/>
          <w:szCs w:val="28"/>
        </w:rPr>
        <w:t xml:space="preserve">», войти в который можно с помощью учетной записи Портала </w:t>
      </w:r>
      <w:proofErr w:type="spellStart"/>
      <w:r>
        <w:rPr>
          <w:color w:val="000000" w:themeColor="text1"/>
          <w:szCs w:val="28"/>
        </w:rPr>
        <w:t>госуслуг</w:t>
      </w:r>
      <w:proofErr w:type="spellEnd"/>
      <w:r>
        <w:rPr>
          <w:color w:val="000000" w:themeColor="text1"/>
          <w:szCs w:val="28"/>
        </w:rPr>
        <w:t xml:space="preserve">. </w:t>
      </w:r>
    </w:p>
    <w:p w:rsidR="00983D22" w:rsidRDefault="00983D22" w:rsidP="00983D2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«</w:t>
      </w:r>
      <w:hyperlink r:id="rId13" w:history="1">
        <w:r>
          <w:rPr>
            <w:rStyle w:val="af"/>
            <w:color w:val="000000" w:themeColor="text1"/>
            <w:szCs w:val="28"/>
          </w:rPr>
          <w:t>Личном кабинете налогоплательщика для физических лиц</w:t>
        </w:r>
      </w:hyperlink>
      <w:r>
        <w:rPr>
          <w:color w:val="000000" w:themeColor="text1"/>
          <w:szCs w:val="28"/>
        </w:rPr>
        <w:t>» можно увидеть не только налоговые начисления, но и заполнить и подать налоговую декларацию через интернет, проверить информацию о своих объектах налогообложения и отследить, одобрен ли налоговый вычет.</w:t>
      </w:r>
    </w:p>
    <w:p w:rsidR="00983D22" w:rsidRDefault="00983D22" w:rsidP="00983D2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Следует отметить, если код подтверждения для Портала </w:t>
      </w:r>
      <w:proofErr w:type="spellStart"/>
      <w:r>
        <w:rPr>
          <w:color w:val="000000" w:themeColor="text1"/>
          <w:szCs w:val="28"/>
        </w:rPr>
        <w:t>госуслуг</w:t>
      </w:r>
      <w:proofErr w:type="spellEnd"/>
      <w:r>
        <w:rPr>
          <w:color w:val="000000" w:themeColor="text1"/>
          <w:szCs w:val="28"/>
        </w:rPr>
        <w:t xml:space="preserve"> получен по почте, войти с его помощью в личный кабинет на сайте ФНС России нельзя, поскольку личность пользователя, получающего доступ к конфиденциальной информации, должна быть подтверждена им лично.</w:t>
      </w:r>
    </w:p>
    <w:p w:rsidR="00C32094" w:rsidRPr="00E27ECD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  <w:bookmarkStart w:id="0" w:name="_GoBack"/>
      <w:bookmarkEnd w:id="0"/>
    </w:p>
    <w:p w:rsidR="0028015B" w:rsidRPr="00E27ECD" w:rsidRDefault="0028015B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50/about_fts/el_usl/" TargetMode="External"/><Relationship Id="rId13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oplata.gosuslugi.ru/p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53</cp:revision>
  <dcterms:created xsi:type="dcterms:W3CDTF">2021-09-03T05:48:00Z</dcterms:created>
  <dcterms:modified xsi:type="dcterms:W3CDTF">2022-02-10T04:41:00Z</dcterms:modified>
</cp:coreProperties>
</file>