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38" w:rsidRPr="00CE476D" w:rsidRDefault="00535D38" w:rsidP="00CE476D">
      <w:pPr>
        <w:ind w:left="720"/>
        <w:jc w:val="right"/>
        <w:rPr>
          <w:rFonts w:ascii="Liberation Serif" w:hAnsi="Liberation Serif"/>
          <w:b/>
          <w:sz w:val="28"/>
          <w:szCs w:val="28"/>
        </w:rPr>
      </w:pPr>
      <w:r w:rsidRPr="00CE476D">
        <w:rPr>
          <w:rFonts w:ascii="Liberation Serif" w:hAnsi="Liberation Serif"/>
          <w:b/>
          <w:sz w:val="28"/>
          <w:szCs w:val="28"/>
        </w:rPr>
        <w:t>Проект</w:t>
      </w:r>
    </w:p>
    <w:p w:rsidR="00CE476D" w:rsidRDefault="00CE476D" w:rsidP="00535D38">
      <w:pPr>
        <w:ind w:left="720"/>
        <w:rPr>
          <w:rFonts w:ascii="Liberation Serif" w:hAnsi="Liberation Serif"/>
          <w:sz w:val="28"/>
          <w:szCs w:val="28"/>
        </w:rPr>
      </w:pPr>
    </w:p>
    <w:p w:rsidR="00CE476D" w:rsidRDefault="00CE476D" w:rsidP="00535D38">
      <w:pPr>
        <w:ind w:left="720"/>
        <w:rPr>
          <w:rFonts w:ascii="Liberation Serif" w:hAnsi="Liberation Serif"/>
          <w:sz w:val="28"/>
          <w:szCs w:val="28"/>
        </w:rPr>
      </w:pPr>
    </w:p>
    <w:p w:rsidR="00535D38" w:rsidRPr="005B75BB" w:rsidRDefault="00535D38" w:rsidP="00535D38">
      <w:pPr>
        <w:ind w:left="720"/>
        <w:rPr>
          <w:rFonts w:ascii="Liberation Serif" w:hAnsi="Liberation Serif"/>
          <w:sz w:val="28"/>
          <w:szCs w:val="28"/>
        </w:rPr>
      </w:pPr>
      <w:r w:rsidRPr="005B75BB">
        <w:rPr>
          <w:rFonts w:ascii="Liberation Serif" w:hAnsi="Liberation Serif"/>
          <w:sz w:val="28"/>
          <w:szCs w:val="28"/>
        </w:rPr>
        <w:t>Решения Думы Гаринского городского округа</w:t>
      </w:r>
    </w:p>
    <w:p w:rsidR="00535D38" w:rsidRPr="005B75BB" w:rsidRDefault="00535D38" w:rsidP="00535D38">
      <w:pPr>
        <w:ind w:left="720"/>
        <w:rPr>
          <w:rFonts w:ascii="Liberation Serif" w:hAnsi="Liberation Serif"/>
          <w:sz w:val="28"/>
          <w:szCs w:val="28"/>
        </w:rPr>
      </w:pPr>
      <w:r w:rsidRPr="005B75BB">
        <w:rPr>
          <w:rFonts w:ascii="Liberation Serif" w:hAnsi="Liberation Serif"/>
          <w:sz w:val="28"/>
          <w:szCs w:val="28"/>
        </w:rPr>
        <w:t>№ ___ от «___» ___________ 20</w:t>
      </w:r>
      <w:r w:rsidR="00EB707E" w:rsidRPr="005B75BB">
        <w:rPr>
          <w:rFonts w:ascii="Liberation Serif" w:hAnsi="Liberation Serif"/>
          <w:sz w:val="28"/>
          <w:szCs w:val="28"/>
        </w:rPr>
        <w:t>20</w:t>
      </w:r>
      <w:r w:rsidRPr="005B75BB">
        <w:rPr>
          <w:rFonts w:ascii="Liberation Serif" w:hAnsi="Liberation Serif"/>
          <w:sz w:val="28"/>
          <w:szCs w:val="28"/>
        </w:rPr>
        <w:t xml:space="preserve"> г.</w:t>
      </w:r>
    </w:p>
    <w:p w:rsidR="007C0C93" w:rsidRPr="00CE476D" w:rsidRDefault="007C0C93" w:rsidP="00535D38">
      <w:pPr>
        <w:ind w:left="720"/>
        <w:rPr>
          <w:rFonts w:ascii="Liberation Serif" w:hAnsi="Liberation Serif"/>
          <w:sz w:val="28"/>
          <w:szCs w:val="28"/>
        </w:rPr>
      </w:pPr>
    </w:p>
    <w:p w:rsidR="00535D38" w:rsidRPr="005B75BB" w:rsidRDefault="00535D38" w:rsidP="00535D38">
      <w:pPr>
        <w:ind w:left="720"/>
        <w:rPr>
          <w:rFonts w:ascii="Liberation Serif" w:hAnsi="Liberation Serif"/>
          <w:sz w:val="28"/>
          <w:szCs w:val="28"/>
        </w:rPr>
      </w:pPr>
    </w:p>
    <w:p w:rsidR="00535D38" w:rsidRPr="005B75BB" w:rsidRDefault="00535D38" w:rsidP="00CE476D">
      <w:pPr>
        <w:numPr>
          <w:ilvl w:val="0"/>
          <w:numId w:val="2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5B75BB">
        <w:rPr>
          <w:rFonts w:ascii="Liberation Serif" w:hAnsi="Liberation Serif"/>
          <w:sz w:val="28"/>
          <w:szCs w:val="28"/>
        </w:rPr>
        <w:t xml:space="preserve">Утвердить Проект внесения изменений в Правила землепользования и застройки Гаринского </w:t>
      </w:r>
      <w:r w:rsidR="00EB707E" w:rsidRPr="005B75BB">
        <w:rPr>
          <w:rFonts w:ascii="Liberation Serif" w:hAnsi="Liberation Serif"/>
          <w:sz w:val="28"/>
          <w:szCs w:val="28"/>
        </w:rPr>
        <w:t>городского округа</w:t>
      </w:r>
      <w:r w:rsidRPr="005B75BB">
        <w:rPr>
          <w:rFonts w:ascii="Liberation Serif" w:hAnsi="Liberation Serif"/>
          <w:sz w:val="28"/>
          <w:szCs w:val="28"/>
        </w:rPr>
        <w:t xml:space="preserve"> (утверждённые решением Думы Гаринского городского округа от 23.03.2017 № 604/71, в редакции решения Думы Гаринского городского округа от 09.06.2020 № 238/41) (прилагается).</w:t>
      </w:r>
    </w:p>
    <w:p w:rsidR="00EB707E" w:rsidRPr="005B75BB" w:rsidRDefault="00EB707E" w:rsidP="00CE476D">
      <w:pPr>
        <w:numPr>
          <w:ilvl w:val="0"/>
          <w:numId w:val="2"/>
        </w:numPr>
        <w:ind w:left="0" w:firstLine="349"/>
        <w:jc w:val="both"/>
        <w:rPr>
          <w:rFonts w:ascii="Liberation Serif" w:hAnsi="Liberation Serif"/>
          <w:sz w:val="28"/>
          <w:szCs w:val="28"/>
        </w:rPr>
      </w:pPr>
      <w:r w:rsidRPr="005B75BB">
        <w:rPr>
          <w:rFonts w:ascii="Liberation Serif" w:hAnsi="Liberation Serif"/>
          <w:sz w:val="28"/>
          <w:szCs w:val="28"/>
        </w:rPr>
        <w:t>Признать утратившими силу Правила землепользования и застройки Гаринского городского округа, утверждённые пунктами 1 и 2 решения Думы Гаринского городского округа от 25.12.2012 № 173/11, решени</w:t>
      </w:r>
      <w:r w:rsidR="00EB2AB6" w:rsidRPr="005B75BB">
        <w:rPr>
          <w:rFonts w:ascii="Liberation Serif" w:hAnsi="Liberation Serif"/>
          <w:sz w:val="28"/>
          <w:szCs w:val="28"/>
        </w:rPr>
        <w:t>ем</w:t>
      </w:r>
      <w:r w:rsidRPr="005B75BB">
        <w:rPr>
          <w:rFonts w:ascii="Liberation Serif" w:hAnsi="Liberation Serif"/>
          <w:sz w:val="28"/>
          <w:szCs w:val="28"/>
        </w:rPr>
        <w:t xml:space="preserve"> Думы Гаринского городского округа от 0</w:t>
      </w:r>
      <w:r w:rsidR="00EB2AB6" w:rsidRPr="005B75BB">
        <w:rPr>
          <w:rFonts w:ascii="Liberation Serif" w:hAnsi="Liberation Serif"/>
          <w:sz w:val="28"/>
          <w:szCs w:val="28"/>
        </w:rPr>
        <w:t>7</w:t>
      </w:r>
      <w:r w:rsidRPr="005B75BB">
        <w:rPr>
          <w:rFonts w:ascii="Liberation Serif" w:hAnsi="Liberation Serif"/>
          <w:sz w:val="28"/>
          <w:szCs w:val="28"/>
        </w:rPr>
        <w:t>.</w:t>
      </w:r>
      <w:r w:rsidR="00EB2AB6" w:rsidRPr="005B75BB">
        <w:rPr>
          <w:rFonts w:ascii="Liberation Serif" w:hAnsi="Liberation Serif"/>
          <w:sz w:val="28"/>
          <w:szCs w:val="28"/>
        </w:rPr>
        <w:t>12</w:t>
      </w:r>
      <w:r w:rsidRPr="005B75BB">
        <w:rPr>
          <w:rFonts w:ascii="Liberation Serif" w:hAnsi="Liberation Serif"/>
          <w:sz w:val="28"/>
          <w:szCs w:val="28"/>
        </w:rPr>
        <w:t>.20</w:t>
      </w:r>
      <w:r w:rsidR="00EB2AB6" w:rsidRPr="005B75BB">
        <w:rPr>
          <w:rFonts w:ascii="Liberation Serif" w:hAnsi="Liberation Serif"/>
          <w:sz w:val="28"/>
          <w:szCs w:val="28"/>
        </w:rPr>
        <w:t>07</w:t>
      </w:r>
      <w:r w:rsidRPr="005B75BB">
        <w:rPr>
          <w:rFonts w:ascii="Liberation Serif" w:hAnsi="Liberation Serif"/>
          <w:sz w:val="28"/>
          <w:szCs w:val="28"/>
        </w:rPr>
        <w:t xml:space="preserve"> г. № 2</w:t>
      </w:r>
      <w:r w:rsidR="00EB2AB6" w:rsidRPr="005B75BB">
        <w:rPr>
          <w:rFonts w:ascii="Liberation Serif" w:hAnsi="Liberation Serif"/>
          <w:sz w:val="28"/>
          <w:szCs w:val="28"/>
        </w:rPr>
        <w:t>7</w:t>
      </w:r>
      <w:r w:rsidRPr="005B75BB">
        <w:rPr>
          <w:rFonts w:ascii="Liberation Serif" w:hAnsi="Liberation Serif"/>
          <w:sz w:val="28"/>
          <w:szCs w:val="28"/>
        </w:rPr>
        <w:t>/</w:t>
      </w:r>
      <w:r w:rsidR="00EB2AB6" w:rsidRPr="005B75BB">
        <w:rPr>
          <w:rFonts w:ascii="Liberation Serif" w:hAnsi="Liberation Serif"/>
          <w:sz w:val="28"/>
          <w:szCs w:val="28"/>
        </w:rPr>
        <w:t>3.</w:t>
      </w:r>
    </w:p>
    <w:p w:rsidR="00535D38" w:rsidRPr="005B75BB" w:rsidRDefault="00535D38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5B75BB">
        <w:rPr>
          <w:rFonts w:ascii="Liberation Serif" w:hAnsi="Liberation Serif"/>
          <w:sz w:val="28"/>
          <w:szCs w:val="28"/>
        </w:rPr>
        <w:br w:type="page"/>
      </w:r>
      <w:bookmarkStart w:id="0" w:name="_GoBack"/>
      <w:bookmarkEnd w:id="0"/>
    </w:p>
    <w:p w:rsidR="00E26D7C" w:rsidRPr="004560D5" w:rsidRDefault="00E26D7C" w:rsidP="00535D38">
      <w:pPr>
        <w:widowControl w:val="0"/>
        <w:snapToGrid w:val="0"/>
        <w:jc w:val="center"/>
        <w:rPr>
          <w:sz w:val="28"/>
          <w:szCs w:val="20"/>
        </w:rPr>
      </w:pPr>
      <w:r w:rsidRPr="004560D5">
        <w:rPr>
          <w:sz w:val="28"/>
          <w:szCs w:val="20"/>
        </w:rPr>
        <w:lastRenderedPageBreak/>
        <w:t>Общество с ограниченной ответственностью «КОПТИС»</w:t>
      </w: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CE7945" w:rsidRPr="002854B1" w:rsidRDefault="00E26D7C" w:rsidP="00535D38">
      <w:pPr>
        <w:keepNext/>
        <w:jc w:val="center"/>
        <w:outlineLvl w:val="0"/>
        <w:rPr>
          <w:caps/>
          <w:sz w:val="32"/>
          <w:szCs w:val="32"/>
        </w:rPr>
      </w:pPr>
      <w:bookmarkStart w:id="1" w:name="_Toc451181999"/>
      <w:bookmarkStart w:id="2" w:name="_Toc451469284"/>
      <w:bookmarkStart w:id="3" w:name="_Toc451955236"/>
      <w:r>
        <w:rPr>
          <w:b/>
          <w:sz w:val="32"/>
          <w:szCs w:val="32"/>
        </w:rPr>
        <w:t>Проект в</w:t>
      </w:r>
      <w:r w:rsidRPr="004560D5">
        <w:rPr>
          <w:b/>
          <w:sz w:val="32"/>
          <w:szCs w:val="32"/>
        </w:rPr>
        <w:t>несени</w:t>
      </w:r>
      <w:r>
        <w:rPr>
          <w:b/>
          <w:sz w:val="32"/>
          <w:szCs w:val="32"/>
        </w:rPr>
        <w:t>я</w:t>
      </w:r>
      <w:r w:rsidRPr="004560D5">
        <w:rPr>
          <w:b/>
          <w:sz w:val="32"/>
          <w:szCs w:val="32"/>
        </w:rPr>
        <w:t xml:space="preserve"> изменений </w:t>
      </w:r>
      <w:r>
        <w:rPr>
          <w:b/>
          <w:sz w:val="32"/>
          <w:szCs w:val="32"/>
        </w:rPr>
        <w:t>в</w:t>
      </w:r>
      <w:r w:rsidR="002854B1">
        <w:rPr>
          <w:b/>
          <w:sz w:val="32"/>
          <w:szCs w:val="32"/>
        </w:rPr>
        <w:br/>
      </w:r>
      <w:r w:rsidR="002854B1" w:rsidRPr="004560D5">
        <w:rPr>
          <w:b/>
          <w:sz w:val="32"/>
          <w:szCs w:val="32"/>
        </w:rPr>
        <w:t>ПРАВИЛА ЗЕМЛЕПОЛЬЗОВАНИЯ И ЗАСТРОЙКИ</w:t>
      </w:r>
      <w:bookmarkStart w:id="4" w:name="_Toc451182000"/>
      <w:bookmarkStart w:id="5" w:name="_Toc451469285"/>
      <w:bookmarkEnd w:id="1"/>
      <w:bookmarkEnd w:id="2"/>
      <w:r w:rsidR="002854B1" w:rsidRPr="004560D5">
        <w:rPr>
          <w:b/>
          <w:sz w:val="32"/>
          <w:szCs w:val="32"/>
        </w:rPr>
        <w:t xml:space="preserve"> </w:t>
      </w:r>
      <w:bookmarkEnd w:id="3"/>
      <w:bookmarkEnd w:id="4"/>
      <w:bookmarkEnd w:id="5"/>
      <w:r w:rsidR="002854B1" w:rsidRPr="00B76DDF">
        <w:rPr>
          <w:b/>
          <w:sz w:val="32"/>
          <w:szCs w:val="32"/>
        </w:rPr>
        <w:t>ГАРИНСКОГО ГОРОДСКОГО ОКРУГА</w:t>
      </w:r>
      <w:r w:rsidR="002854B1">
        <w:rPr>
          <w:b/>
          <w:sz w:val="32"/>
          <w:szCs w:val="32"/>
        </w:rPr>
        <w:br/>
      </w:r>
      <w:r w:rsidR="002854B1" w:rsidRPr="002854B1">
        <w:rPr>
          <w:sz w:val="32"/>
          <w:szCs w:val="32"/>
        </w:rPr>
        <w:t>(</w:t>
      </w:r>
      <w:r w:rsidR="008A29D8" w:rsidRPr="008A29D8">
        <w:rPr>
          <w:sz w:val="32"/>
          <w:szCs w:val="32"/>
        </w:rPr>
        <w:t>утверждённы</w:t>
      </w:r>
      <w:r w:rsidR="008A29D8">
        <w:rPr>
          <w:sz w:val="32"/>
          <w:szCs w:val="32"/>
        </w:rPr>
        <w:t xml:space="preserve">е </w:t>
      </w:r>
      <w:r w:rsidR="008A29D8" w:rsidRPr="008A29D8">
        <w:rPr>
          <w:sz w:val="32"/>
          <w:szCs w:val="32"/>
        </w:rPr>
        <w:t>решени</w:t>
      </w:r>
      <w:r w:rsidR="008A29D8">
        <w:rPr>
          <w:sz w:val="32"/>
          <w:szCs w:val="32"/>
        </w:rPr>
        <w:t>ем</w:t>
      </w:r>
      <w:r w:rsidR="008A29D8" w:rsidRPr="008A29D8">
        <w:rPr>
          <w:sz w:val="32"/>
          <w:szCs w:val="32"/>
        </w:rPr>
        <w:t xml:space="preserve"> Думы Гаринского городского округа</w:t>
      </w:r>
      <w:r w:rsidR="008A29D8">
        <w:rPr>
          <w:sz w:val="32"/>
          <w:szCs w:val="32"/>
        </w:rPr>
        <w:br/>
      </w:r>
      <w:r w:rsidR="008A29D8" w:rsidRPr="008A29D8">
        <w:rPr>
          <w:sz w:val="32"/>
          <w:szCs w:val="32"/>
        </w:rPr>
        <w:t>от 23.03.2017</w:t>
      </w:r>
      <w:r w:rsidR="008A29D8" w:rsidRPr="002854B1">
        <w:rPr>
          <w:sz w:val="32"/>
          <w:szCs w:val="32"/>
        </w:rPr>
        <w:t xml:space="preserve"> г. </w:t>
      </w:r>
      <w:r w:rsidR="008A29D8" w:rsidRPr="008A29D8">
        <w:rPr>
          <w:sz w:val="32"/>
          <w:szCs w:val="32"/>
        </w:rPr>
        <w:t>№ 604/71</w:t>
      </w:r>
      <w:r w:rsidR="008A29D8">
        <w:rPr>
          <w:sz w:val="32"/>
          <w:szCs w:val="32"/>
        </w:rPr>
        <w:t>,</w:t>
      </w:r>
      <w:r w:rsidR="008A29D8">
        <w:rPr>
          <w:sz w:val="32"/>
          <w:szCs w:val="32"/>
        </w:rPr>
        <w:br/>
      </w:r>
      <w:r w:rsidR="002854B1" w:rsidRPr="002854B1">
        <w:rPr>
          <w:sz w:val="32"/>
          <w:szCs w:val="32"/>
        </w:rPr>
        <w:t>в редакции решения Думы Гаринского городского округа</w:t>
      </w:r>
      <w:r w:rsidR="002854B1">
        <w:rPr>
          <w:sz w:val="32"/>
          <w:szCs w:val="32"/>
        </w:rPr>
        <w:br/>
      </w:r>
      <w:r w:rsidR="002854B1" w:rsidRPr="002854B1">
        <w:rPr>
          <w:sz w:val="32"/>
          <w:szCs w:val="32"/>
        </w:rPr>
        <w:t>от 09</w:t>
      </w:r>
      <w:r w:rsidR="008A29D8">
        <w:rPr>
          <w:sz w:val="32"/>
          <w:szCs w:val="32"/>
        </w:rPr>
        <w:t>.06.</w:t>
      </w:r>
      <w:r w:rsidR="002854B1" w:rsidRPr="002854B1">
        <w:rPr>
          <w:sz w:val="32"/>
          <w:szCs w:val="32"/>
        </w:rPr>
        <w:t>2020 г. № 238/41)</w:t>
      </w: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2854B1" w:rsidRDefault="002854B1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8A29D8" w:rsidRDefault="008A29D8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8A29D8" w:rsidRDefault="008A29D8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5B75BB" w:rsidRDefault="005B75BB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5B75BB" w:rsidRDefault="005B75BB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5B75BB" w:rsidRDefault="005B75BB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5B75BB" w:rsidRDefault="005B75BB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Pr="00A80E3B" w:rsidRDefault="00E26D7C" w:rsidP="00535D38">
      <w:pPr>
        <w:widowControl w:val="0"/>
        <w:autoSpaceDE w:val="0"/>
        <w:autoSpaceDN w:val="0"/>
        <w:adjustRightInd w:val="0"/>
        <w:ind w:left="709" w:hanging="709"/>
        <w:jc w:val="center"/>
      </w:pPr>
      <w:r>
        <w:t>Екатеринбург 20</w:t>
      </w:r>
      <w:r w:rsidRPr="00A80E3B">
        <w:t>20</w:t>
      </w: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  <w:r>
        <w:br w:type="page"/>
      </w:r>
    </w:p>
    <w:p w:rsidR="00E26D7C" w:rsidRPr="004560D5" w:rsidRDefault="00E26D7C" w:rsidP="00535D38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E26D7C" w:rsidRDefault="00E26D7C" w:rsidP="00535D38">
      <w:pPr>
        <w:widowControl w:val="0"/>
        <w:snapToGrid w:val="0"/>
        <w:jc w:val="center"/>
        <w:rPr>
          <w:b/>
          <w:noProof/>
          <w:sz w:val="28"/>
          <w:szCs w:val="20"/>
        </w:rPr>
      </w:pPr>
      <w:r w:rsidRPr="00826239">
        <w:rPr>
          <w:b/>
          <w:noProof/>
          <w:sz w:val="28"/>
          <w:szCs w:val="20"/>
        </w:rPr>
        <w:t xml:space="preserve">Авторский коллектив по разработке </w:t>
      </w:r>
      <w:r>
        <w:rPr>
          <w:b/>
          <w:noProof/>
          <w:sz w:val="28"/>
          <w:szCs w:val="20"/>
        </w:rPr>
        <w:t xml:space="preserve">проекта изменений в </w:t>
      </w:r>
      <w:r w:rsidRPr="00826239">
        <w:rPr>
          <w:b/>
          <w:noProof/>
          <w:sz w:val="28"/>
          <w:szCs w:val="20"/>
        </w:rPr>
        <w:t>Правил</w:t>
      </w:r>
      <w:r>
        <w:rPr>
          <w:b/>
          <w:noProof/>
          <w:sz w:val="28"/>
          <w:szCs w:val="20"/>
        </w:rPr>
        <w:t>а</w:t>
      </w:r>
      <w:r w:rsidRPr="00826239">
        <w:rPr>
          <w:b/>
          <w:noProof/>
          <w:sz w:val="28"/>
          <w:szCs w:val="20"/>
        </w:rPr>
        <w:t xml:space="preserve"> землепользования и застройки </w:t>
      </w:r>
      <w:r w:rsidR="00B76DDF" w:rsidRPr="00B76DDF">
        <w:rPr>
          <w:b/>
          <w:noProof/>
          <w:sz w:val="28"/>
          <w:szCs w:val="20"/>
        </w:rPr>
        <w:t>Гаринского городского округа</w:t>
      </w:r>
      <w:r>
        <w:rPr>
          <w:b/>
          <w:noProof/>
          <w:sz w:val="28"/>
          <w:szCs w:val="20"/>
        </w:rPr>
        <w:t xml:space="preserve"> </w:t>
      </w:r>
      <w:r w:rsidR="00FC61DB">
        <w:rPr>
          <w:b/>
          <w:noProof/>
          <w:sz w:val="28"/>
          <w:szCs w:val="20"/>
        </w:rPr>
        <w:t>10</w:t>
      </w:r>
      <w:r>
        <w:rPr>
          <w:b/>
          <w:noProof/>
          <w:sz w:val="28"/>
          <w:szCs w:val="20"/>
        </w:rPr>
        <w:t>.20</w:t>
      </w:r>
      <w:r w:rsidRPr="00A80E3B">
        <w:rPr>
          <w:b/>
          <w:noProof/>
          <w:sz w:val="28"/>
          <w:szCs w:val="20"/>
        </w:rPr>
        <w:t>20</w:t>
      </w:r>
    </w:p>
    <w:p w:rsidR="007C0C93" w:rsidRPr="007C0C93" w:rsidRDefault="007C0C93" w:rsidP="007C0C93">
      <w:pPr>
        <w:widowControl w:val="0"/>
        <w:autoSpaceDE w:val="0"/>
        <w:autoSpaceDN w:val="0"/>
        <w:adjustRightInd w:val="0"/>
        <w:ind w:left="709" w:hanging="709"/>
        <w:jc w:val="center"/>
      </w:pPr>
      <w:r w:rsidRPr="007C0C93">
        <w:t>МК №</w:t>
      </w:r>
      <w:r>
        <w:rPr>
          <w:lang w:val="en-US"/>
        </w:rPr>
        <w:t xml:space="preserve"> </w:t>
      </w:r>
      <w:r w:rsidRPr="007C0C93">
        <w:t>08626000138200000030001 от 10.03.2020</w:t>
      </w:r>
    </w:p>
    <w:p w:rsidR="00E26D7C" w:rsidRPr="00826239" w:rsidRDefault="00E26D7C" w:rsidP="00535D38">
      <w:pPr>
        <w:widowControl w:val="0"/>
        <w:snapToGrid w:val="0"/>
        <w:jc w:val="center"/>
        <w:rPr>
          <w:b/>
          <w:noProof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4251"/>
      </w:tblGrid>
      <w:tr w:rsidR="00E26D7C" w:rsidRPr="00826239" w:rsidTr="00187CD1">
        <w:trPr>
          <w:trHeight w:val="517"/>
          <w:jc w:val="center"/>
        </w:trPr>
        <w:tc>
          <w:tcPr>
            <w:tcW w:w="2779" w:type="pct"/>
            <w:vAlign w:val="center"/>
          </w:tcPr>
          <w:p w:rsidR="00E26D7C" w:rsidRPr="00EE05F2" w:rsidRDefault="00E26D7C" w:rsidP="00535D38">
            <w:pPr>
              <w:ind w:firstLine="34"/>
              <w:jc w:val="center"/>
            </w:pPr>
            <w:r w:rsidRPr="00EE05F2">
              <w:t>Генеральный директор, к.т.н.</w:t>
            </w:r>
          </w:p>
        </w:tc>
        <w:tc>
          <w:tcPr>
            <w:tcW w:w="2221" w:type="pct"/>
            <w:vAlign w:val="center"/>
          </w:tcPr>
          <w:p w:rsidR="00E26D7C" w:rsidRPr="00EE05F2" w:rsidRDefault="00E26D7C" w:rsidP="00535D38">
            <w:pPr>
              <w:ind w:firstLine="34"/>
              <w:jc w:val="center"/>
            </w:pPr>
            <w:r w:rsidRPr="00EE05F2">
              <w:t xml:space="preserve">А.В. </w:t>
            </w:r>
            <w:proofErr w:type="spellStart"/>
            <w:r w:rsidRPr="00EE05F2">
              <w:t>Рычков</w:t>
            </w:r>
            <w:proofErr w:type="spellEnd"/>
          </w:p>
        </w:tc>
      </w:tr>
      <w:tr w:rsidR="00E26D7C" w:rsidRPr="00826239" w:rsidTr="00187CD1">
        <w:trPr>
          <w:trHeight w:val="517"/>
          <w:jc w:val="center"/>
        </w:trPr>
        <w:tc>
          <w:tcPr>
            <w:tcW w:w="2779" w:type="pct"/>
            <w:vAlign w:val="center"/>
          </w:tcPr>
          <w:p w:rsidR="00E26D7C" w:rsidRPr="00EE05F2" w:rsidRDefault="00E26D7C" w:rsidP="00535D38">
            <w:pPr>
              <w:ind w:firstLine="34"/>
              <w:jc w:val="center"/>
            </w:pPr>
            <w:r w:rsidRPr="00EE05F2">
              <w:t>Старший научный сотрудник</w:t>
            </w:r>
          </w:p>
        </w:tc>
        <w:tc>
          <w:tcPr>
            <w:tcW w:w="2221" w:type="pct"/>
            <w:vAlign w:val="center"/>
          </w:tcPr>
          <w:p w:rsidR="00E26D7C" w:rsidRPr="00EE05F2" w:rsidRDefault="00E26D7C" w:rsidP="00535D38">
            <w:pPr>
              <w:ind w:firstLine="34"/>
              <w:jc w:val="center"/>
            </w:pPr>
            <w:r w:rsidRPr="00EE05F2">
              <w:t>Д.Ю. Ширяев</w:t>
            </w:r>
          </w:p>
        </w:tc>
      </w:tr>
      <w:tr w:rsidR="00E26D7C" w:rsidRPr="00826239" w:rsidTr="00187CD1">
        <w:trPr>
          <w:trHeight w:val="517"/>
          <w:jc w:val="center"/>
        </w:trPr>
        <w:tc>
          <w:tcPr>
            <w:tcW w:w="2779" w:type="pct"/>
            <w:vAlign w:val="center"/>
          </w:tcPr>
          <w:p w:rsidR="00E26D7C" w:rsidRPr="0014143C" w:rsidRDefault="00E26D7C" w:rsidP="00535D38">
            <w:pPr>
              <w:ind w:firstLine="34"/>
              <w:jc w:val="center"/>
            </w:pPr>
            <w:r>
              <w:t>Д</w:t>
            </w:r>
            <w:r w:rsidRPr="00897D52">
              <w:t>иректор по стратегическому развитию</w:t>
            </w:r>
          </w:p>
        </w:tc>
        <w:tc>
          <w:tcPr>
            <w:tcW w:w="2221" w:type="pct"/>
            <w:vAlign w:val="center"/>
          </w:tcPr>
          <w:p w:rsidR="00E26D7C" w:rsidRPr="0014143C" w:rsidRDefault="00E26D7C" w:rsidP="00535D38">
            <w:pPr>
              <w:ind w:firstLine="34"/>
              <w:jc w:val="center"/>
            </w:pPr>
            <w:r w:rsidRPr="0014143C">
              <w:t>А.П. Федосов</w:t>
            </w:r>
          </w:p>
        </w:tc>
      </w:tr>
      <w:tr w:rsidR="00E26D7C" w:rsidRPr="00826239" w:rsidTr="00187CD1">
        <w:trPr>
          <w:trHeight w:val="517"/>
          <w:jc w:val="center"/>
        </w:trPr>
        <w:tc>
          <w:tcPr>
            <w:tcW w:w="2779" w:type="pct"/>
            <w:vAlign w:val="center"/>
          </w:tcPr>
          <w:p w:rsidR="00E26D7C" w:rsidRPr="0014143C" w:rsidRDefault="00E26D7C" w:rsidP="00535D38">
            <w:pPr>
              <w:ind w:firstLine="34"/>
              <w:jc w:val="center"/>
            </w:pPr>
            <w:r w:rsidRPr="0014143C">
              <w:t>Инженер-картограф</w:t>
            </w:r>
          </w:p>
        </w:tc>
        <w:tc>
          <w:tcPr>
            <w:tcW w:w="2221" w:type="pct"/>
            <w:vAlign w:val="center"/>
          </w:tcPr>
          <w:p w:rsidR="00E26D7C" w:rsidRPr="0014143C" w:rsidRDefault="00E26D7C" w:rsidP="00535D38">
            <w:pPr>
              <w:ind w:firstLine="34"/>
              <w:jc w:val="center"/>
            </w:pPr>
            <w:r w:rsidRPr="0014143C">
              <w:t xml:space="preserve">Е.С. </w:t>
            </w:r>
            <w:proofErr w:type="spellStart"/>
            <w:r w:rsidRPr="0014143C">
              <w:t>Верхотурцева</w:t>
            </w:r>
            <w:proofErr w:type="spellEnd"/>
          </w:p>
        </w:tc>
      </w:tr>
      <w:tr w:rsidR="00B1300E" w:rsidRPr="00826239" w:rsidTr="00187CD1">
        <w:trPr>
          <w:trHeight w:val="517"/>
          <w:jc w:val="center"/>
        </w:trPr>
        <w:tc>
          <w:tcPr>
            <w:tcW w:w="2779" w:type="pct"/>
            <w:vAlign w:val="center"/>
          </w:tcPr>
          <w:p w:rsidR="00B1300E" w:rsidRPr="0014143C" w:rsidRDefault="00B1300E" w:rsidP="00535D38">
            <w:pPr>
              <w:jc w:val="center"/>
            </w:pPr>
            <w:r w:rsidRPr="0014143C">
              <w:t>И</w:t>
            </w:r>
            <w:r w:rsidRPr="00BD46C6">
              <w:t>нженер-геодезист</w:t>
            </w:r>
          </w:p>
        </w:tc>
        <w:tc>
          <w:tcPr>
            <w:tcW w:w="2221" w:type="pct"/>
            <w:vAlign w:val="center"/>
          </w:tcPr>
          <w:p w:rsidR="00B1300E" w:rsidRPr="0014143C" w:rsidRDefault="00B1300E" w:rsidP="00535D38">
            <w:pPr>
              <w:jc w:val="center"/>
            </w:pPr>
            <w:r>
              <w:t>Н</w:t>
            </w:r>
            <w:r w:rsidRPr="0014143C">
              <w:t>.</w:t>
            </w:r>
            <w:r>
              <w:t>Р</w:t>
            </w:r>
            <w:r w:rsidRPr="0014143C">
              <w:t xml:space="preserve">. </w:t>
            </w:r>
            <w:proofErr w:type="spellStart"/>
            <w:r w:rsidRPr="007B578F">
              <w:t>Мокерова</w:t>
            </w:r>
            <w:proofErr w:type="spellEnd"/>
          </w:p>
        </w:tc>
      </w:tr>
    </w:tbl>
    <w:p w:rsidR="00E26D7C" w:rsidRDefault="00E26D7C" w:rsidP="00535D38"/>
    <w:p w:rsidR="00E26D7C" w:rsidRPr="00384222" w:rsidRDefault="00E26D7C" w:rsidP="00535D38">
      <w:r>
        <w:br w:type="page"/>
      </w:r>
    </w:p>
    <w:p w:rsidR="00E26D7C" w:rsidRDefault="00E26D7C" w:rsidP="00535D38">
      <w:pPr>
        <w:jc w:val="both"/>
      </w:pPr>
    </w:p>
    <w:p w:rsidR="000F1297" w:rsidRPr="00535D38" w:rsidRDefault="000F1297" w:rsidP="00535D38">
      <w:pPr>
        <w:numPr>
          <w:ilvl w:val="0"/>
          <w:numId w:val="1"/>
        </w:numPr>
        <w:spacing w:after="240"/>
        <w:ind w:left="0" w:firstLine="0"/>
        <w:jc w:val="both"/>
      </w:pPr>
      <w:r w:rsidRPr="00535D38">
        <w:t xml:space="preserve">Признать утратившими силу Схемы градостроительного зонирования </w:t>
      </w:r>
      <w:r w:rsidR="00535D38" w:rsidRPr="00535D38">
        <w:t xml:space="preserve">п. Горный, д. Лобанова, с. Еремино, д. Зыкова, д. </w:t>
      </w:r>
      <w:proofErr w:type="spellStart"/>
      <w:r w:rsidR="00535D38" w:rsidRPr="00535D38">
        <w:t>Петим</w:t>
      </w:r>
      <w:proofErr w:type="spellEnd"/>
      <w:r w:rsidR="00535D38" w:rsidRPr="00535D38">
        <w:t xml:space="preserve">, деревень Лебедева, Поспелова, Моисеева и п. </w:t>
      </w:r>
      <w:proofErr w:type="spellStart"/>
      <w:r w:rsidR="00535D38" w:rsidRPr="00535D38">
        <w:t>Стенин</w:t>
      </w:r>
      <w:proofErr w:type="spellEnd"/>
      <w:r w:rsidR="00535D38" w:rsidRPr="00535D38">
        <w:t xml:space="preserve"> Кедр </w:t>
      </w:r>
      <w:r w:rsidRPr="00535D38">
        <w:t>Гаринского городского округа раздела 9 части III.</w:t>
      </w:r>
    </w:p>
    <w:p w:rsidR="000F1297" w:rsidRPr="000F1297" w:rsidRDefault="000F1297" w:rsidP="00535D38">
      <w:pPr>
        <w:numPr>
          <w:ilvl w:val="0"/>
          <w:numId w:val="1"/>
        </w:numPr>
        <w:spacing w:after="240"/>
        <w:ind w:left="0" w:firstLine="0"/>
        <w:jc w:val="both"/>
      </w:pPr>
      <w:proofErr w:type="gramStart"/>
      <w:r w:rsidRPr="000F1297">
        <w:t xml:space="preserve">Раздел 9 части III дополнить Картами градостроительного зонирования </w:t>
      </w:r>
      <w:r w:rsidR="005B75BB">
        <w:t>с. Андрюшино</w:t>
      </w:r>
      <w:r w:rsidR="000C76DD" w:rsidRPr="000C76DD">
        <w:t xml:space="preserve">, д. </w:t>
      </w:r>
      <w:proofErr w:type="spellStart"/>
      <w:r w:rsidR="000C76DD" w:rsidRPr="000C76DD">
        <w:t>Ананьевка</w:t>
      </w:r>
      <w:proofErr w:type="spellEnd"/>
      <w:r w:rsidR="000C76DD" w:rsidRPr="000C76DD">
        <w:t xml:space="preserve">, п. Березовый, д. Векшина, п. Горный, с. Еремино, п. Зимний, д. Зыкова, д. </w:t>
      </w:r>
      <w:proofErr w:type="spellStart"/>
      <w:r w:rsidR="000C76DD" w:rsidRPr="000C76DD">
        <w:t>Каргаева</w:t>
      </w:r>
      <w:proofErr w:type="spellEnd"/>
      <w:r w:rsidR="000C76DD" w:rsidRPr="000C76DD">
        <w:t xml:space="preserve">, д. Кондратьева, д. </w:t>
      </w:r>
      <w:proofErr w:type="spellStart"/>
      <w:r w:rsidR="000C76DD" w:rsidRPr="000C76DD">
        <w:t>Кошмаки</w:t>
      </w:r>
      <w:proofErr w:type="spellEnd"/>
      <w:r w:rsidR="000C76DD" w:rsidRPr="000C76DD">
        <w:t xml:space="preserve">, д. </w:t>
      </w:r>
      <w:proofErr w:type="spellStart"/>
      <w:r w:rsidR="000C76DD" w:rsidRPr="000C76DD">
        <w:t>Круторечка</w:t>
      </w:r>
      <w:proofErr w:type="spellEnd"/>
      <w:r w:rsidR="000C76DD" w:rsidRPr="000C76DD">
        <w:t xml:space="preserve">, д. Кузнецова, д. Лебедева, п. Ликино, д. Лобанова, д. </w:t>
      </w:r>
      <w:proofErr w:type="spellStart"/>
      <w:r w:rsidR="000C76DD" w:rsidRPr="000C76DD">
        <w:t>Махтыли</w:t>
      </w:r>
      <w:proofErr w:type="spellEnd"/>
      <w:r w:rsidR="000C76DD" w:rsidRPr="000C76DD">
        <w:t xml:space="preserve">, д. Михайловка, д. Моисеева, д. Мочальная, д. </w:t>
      </w:r>
      <w:proofErr w:type="spellStart"/>
      <w:r w:rsidR="000C76DD" w:rsidRPr="000C76DD">
        <w:t>Мочищенская</w:t>
      </w:r>
      <w:proofErr w:type="spellEnd"/>
      <w:r w:rsidR="000C76DD" w:rsidRPr="000C76DD">
        <w:t xml:space="preserve">, </w:t>
      </w:r>
      <w:r w:rsidR="005B75BB">
        <w:t xml:space="preserve">д. </w:t>
      </w:r>
      <w:proofErr w:type="spellStart"/>
      <w:r w:rsidR="005B75BB">
        <w:t>Нихвор</w:t>
      </w:r>
      <w:proofErr w:type="spellEnd"/>
      <w:r w:rsidR="005B75BB">
        <w:t xml:space="preserve">, </w:t>
      </w:r>
      <w:r w:rsidR="000C76DD" w:rsidRPr="000C76DD">
        <w:t xml:space="preserve">д. Пантелеева, д. Пелым, д. </w:t>
      </w:r>
      <w:proofErr w:type="spellStart"/>
      <w:r w:rsidR="000C76DD" w:rsidRPr="000C76DD">
        <w:t>Петим</w:t>
      </w:r>
      <w:proofErr w:type="spellEnd"/>
      <w:r w:rsidR="000C76DD" w:rsidRPr="000C76DD">
        <w:t>, д. Поспелова</w:t>
      </w:r>
      <w:proofErr w:type="gramEnd"/>
      <w:r w:rsidR="000C76DD" w:rsidRPr="000C76DD">
        <w:t xml:space="preserve">, </w:t>
      </w:r>
      <w:proofErr w:type="gramStart"/>
      <w:r w:rsidR="000C76DD" w:rsidRPr="000C76DD">
        <w:t xml:space="preserve">д. Рагозина, п. Стенин Кедр, д. Троицкое, с. </w:t>
      </w:r>
      <w:proofErr w:type="spellStart"/>
      <w:r w:rsidR="000C76DD" w:rsidRPr="000C76DD">
        <w:t>Шабурово</w:t>
      </w:r>
      <w:proofErr w:type="spellEnd"/>
      <w:r w:rsidR="000C76DD" w:rsidRPr="000C76DD">
        <w:t xml:space="preserve">, д. </w:t>
      </w:r>
      <w:proofErr w:type="spellStart"/>
      <w:r w:rsidR="000C76DD" w:rsidRPr="000C76DD">
        <w:t>Шантальская</w:t>
      </w:r>
      <w:proofErr w:type="spellEnd"/>
      <w:r w:rsidRPr="000F1297">
        <w:t xml:space="preserve"> (прилагаются).</w:t>
      </w:r>
      <w:proofErr w:type="gramEnd"/>
    </w:p>
    <w:p w:rsidR="00756E02" w:rsidRPr="00521826" w:rsidRDefault="000F1297" w:rsidP="00535D38">
      <w:pPr>
        <w:numPr>
          <w:ilvl w:val="0"/>
          <w:numId w:val="1"/>
        </w:numPr>
        <w:spacing w:after="240"/>
        <w:ind w:left="0" w:firstLine="0"/>
        <w:rPr>
          <w:szCs w:val="20"/>
        </w:rPr>
      </w:pPr>
      <w:r w:rsidRPr="000F1297">
        <w:rPr>
          <w:bCs/>
        </w:rPr>
        <w:t>Карт</w:t>
      </w:r>
      <w:r>
        <w:rPr>
          <w:bCs/>
        </w:rPr>
        <w:t>ы</w:t>
      </w:r>
      <w:r w:rsidRPr="000F1297">
        <w:rPr>
          <w:bCs/>
        </w:rPr>
        <w:t xml:space="preserve"> градостроительного зонирования</w:t>
      </w:r>
      <w:r w:rsidRPr="000F1297">
        <w:rPr>
          <w:szCs w:val="20"/>
        </w:rPr>
        <w:t xml:space="preserve"> применительно к территори</w:t>
      </w:r>
      <w:r>
        <w:rPr>
          <w:szCs w:val="20"/>
        </w:rPr>
        <w:t>ям</w:t>
      </w:r>
      <w:r w:rsidRPr="000F1297">
        <w:rPr>
          <w:szCs w:val="20"/>
        </w:rPr>
        <w:t xml:space="preserve"> д. Рычкова</w:t>
      </w:r>
      <w:r>
        <w:rPr>
          <w:szCs w:val="20"/>
        </w:rPr>
        <w:t>,</w:t>
      </w:r>
      <w:r w:rsidRPr="000F1297">
        <w:rPr>
          <w:szCs w:val="20"/>
        </w:rPr>
        <w:t xml:space="preserve"> </w:t>
      </w:r>
      <w:r w:rsidRPr="00521826">
        <w:rPr>
          <w:szCs w:val="20"/>
        </w:rPr>
        <w:t xml:space="preserve">д. </w:t>
      </w:r>
      <w:proofErr w:type="spellStart"/>
      <w:r w:rsidRPr="00521826">
        <w:rPr>
          <w:szCs w:val="20"/>
        </w:rPr>
        <w:t>Линты</w:t>
      </w:r>
      <w:proofErr w:type="spellEnd"/>
      <w:r w:rsidRPr="00521826">
        <w:t xml:space="preserve"> раздела 9</w:t>
      </w:r>
      <w:r w:rsidR="00756E02" w:rsidRPr="00521826">
        <w:t xml:space="preserve"> </w:t>
      </w:r>
      <w:r w:rsidRPr="00521826">
        <w:t xml:space="preserve">части III </w:t>
      </w:r>
      <w:r w:rsidR="00756E02" w:rsidRPr="00521826">
        <w:rPr>
          <w:szCs w:val="20"/>
        </w:rPr>
        <w:t>изложить в новой редакции (прилага</w:t>
      </w:r>
      <w:r w:rsidR="00B2055E">
        <w:rPr>
          <w:szCs w:val="20"/>
        </w:rPr>
        <w:t>ю</w:t>
      </w:r>
      <w:r w:rsidR="00756E02" w:rsidRPr="00521826">
        <w:rPr>
          <w:szCs w:val="20"/>
        </w:rPr>
        <w:t>тся)</w:t>
      </w:r>
      <w:r w:rsidR="00756E02" w:rsidRPr="00521826">
        <w:t>.</w:t>
      </w:r>
    </w:p>
    <w:p w:rsidR="00E26D7C" w:rsidRDefault="00E26D7C" w:rsidP="00535D38">
      <w:pPr>
        <w:numPr>
          <w:ilvl w:val="0"/>
          <w:numId w:val="1"/>
        </w:numPr>
        <w:spacing w:after="240"/>
        <w:ind w:left="0" w:firstLine="0"/>
        <w:jc w:val="both"/>
      </w:pPr>
      <w:r w:rsidRPr="00F2705F">
        <w:t xml:space="preserve">Часть 3 ст. 11 изложить в новой редакции: «Заинтересованное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  <w:r w:rsidRPr="00F2705F">
        <w:rPr>
          <w:i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подписи".</w:t>
      </w:r>
      <w:r w:rsidRPr="00F2705F">
        <w:t>»</w:t>
      </w:r>
    </w:p>
    <w:p w:rsidR="00E26D7C" w:rsidRDefault="00E26D7C" w:rsidP="00535D38">
      <w:pPr>
        <w:numPr>
          <w:ilvl w:val="0"/>
          <w:numId w:val="1"/>
        </w:numPr>
        <w:spacing w:after="240"/>
        <w:ind w:left="0" w:firstLine="0"/>
        <w:jc w:val="both"/>
      </w:pPr>
      <w:r w:rsidRPr="00F32E12">
        <w:t xml:space="preserve">Часть 1 ст. 12 изложить в новой редакции: «Физическое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  <w:r w:rsidRPr="00E26D7C">
        <w:rPr>
          <w:i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подписи".</w:t>
      </w:r>
      <w:r w:rsidRPr="00F32E12">
        <w:t>»</w:t>
      </w:r>
    </w:p>
    <w:p w:rsidR="00CF6B71" w:rsidRDefault="00CF6B71" w:rsidP="00535D38">
      <w:pPr>
        <w:numPr>
          <w:ilvl w:val="0"/>
          <w:numId w:val="1"/>
        </w:numPr>
        <w:spacing w:after="240"/>
        <w:jc w:val="both"/>
      </w:pPr>
      <w:r w:rsidRPr="00706C8B">
        <w:t>Таблиц</w:t>
      </w:r>
      <w:r>
        <w:t>у</w:t>
      </w:r>
      <w:r w:rsidRPr="00706C8B">
        <w:t xml:space="preserve"> </w:t>
      </w:r>
      <w:r>
        <w:t>1</w:t>
      </w:r>
      <w:r w:rsidRPr="00706C8B">
        <w:t xml:space="preserve"> </w:t>
      </w:r>
      <w:r>
        <w:t xml:space="preserve">статьи 17 </w:t>
      </w:r>
      <w:r w:rsidR="0030552F" w:rsidRPr="00F32E12">
        <w:t>изложить в новой редакции:</w:t>
      </w:r>
    </w:p>
    <w:p w:rsidR="0030552F" w:rsidRPr="0030552F" w:rsidRDefault="0030552F" w:rsidP="00535D38">
      <w:pPr>
        <w:keepNext/>
        <w:spacing w:before="240"/>
        <w:ind w:firstLine="709"/>
        <w:jc w:val="right"/>
        <w:outlineLvl w:val="3"/>
        <w:rPr>
          <w:b/>
          <w:bCs/>
          <w:sz w:val="20"/>
          <w:szCs w:val="20"/>
        </w:rPr>
      </w:pPr>
      <w:r w:rsidRPr="0030552F">
        <w:rPr>
          <w:b/>
          <w:bCs/>
          <w:sz w:val="20"/>
          <w:szCs w:val="20"/>
        </w:rPr>
        <w:t>Таблица 1. Перечень территориальных зон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7848"/>
      </w:tblGrid>
      <w:tr w:rsidR="0030552F" w:rsidRPr="0030552F" w:rsidTr="00187CD1">
        <w:trPr>
          <w:cantSplit/>
          <w:trHeight w:val="501"/>
        </w:trPr>
        <w:tc>
          <w:tcPr>
            <w:tcW w:w="924" w:type="pct"/>
            <w:vAlign w:val="center"/>
          </w:tcPr>
          <w:p w:rsidR="0030552F" w:rsidRPr="0030552F" w:rsidRDefault="0030552F" w:rsidP="00535D38">
            <w:pPr>
              <w:jc w:val="center"/>
              <w:rPr>
                <w:b/>
              </w:rPr>
            </w:pPr>
            <w:r w:rsidRPr="0030552F">
              <w:rPr>
                <w:b/>
              </w:rPr>
              <w:t>Обозначение</w:t>
            </w:r>
          </w:p>
        </w:tc>
        <w:tc>
          <w:tcPr>
            <w:tcW w:w="4076" w:type="pct"/>
            <w:tcMar>
              <w:left w:w="11" w:type="dxa"/>
              <w:right w:w="11" w:type="dxa"/>
            </w:tcMar>
            <w:vAlign w:val="center"/>
          </w:tcPr>
          <w:p w:rsidR="0030552F" w:rsidRPr="0030552F" w:rsidRDefault="0030552F" w:rsidP="00535D38">
            <w:pPr>
              <w:jc w:val="center"/>
              <w:rPr>
                <w:b/>
              </w:rPr>
            </w:pPr>
            <w:r w:rsidRPr="0030552F">
              <w:rPr>
                <w:b/>
              </w:rPr>
              <w:t>Наименование территориальной зоны</w:t>
            </w:r>
          </w:p>
        </w:tc>
      </w:tr>
      <w:tr w:rsidR="0030552F" w:rsidRPr="0030552F" w:rsidTr="00187CD1">
        <w:tc>
          <w:tcPr>
            <w:tcW w:w="924" w:type="pct"/>
          </w:tcPr>
          <w:p w:rsidR="0030552F" w:rsidRPr="0030552F" w:rsidRDefault="0030552F" w:rsidP="00535D38">
            <w:pPr>
              <w:jc w:val="center"/>
            </w:pPr>
            <w:r w:rsidRPr="0030552F">
              <w:t>Ж-1</w:t>
            </w:r>
          </w:p>
        </w:tc>
        <w:tc>
          <w:tcPr>
            <w:tcW w:w="4076" w:type="pct"/>
          </w:tcPr>
          <w:p w:rsidR="0030552F" w:rsidRPr="0030552F" w:rsidRDefault="0030552F" w:rsidP="00535D3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0552F">
              <w:t>Жилая зона индивидуальной застройки</w:t>
            </w:r>
          </w:p>
        </w:tc>
      </w:tr>
      <w:tr w:rsidR="00187CD1" w:rsidRPr="00447A13" w:rsidTr="00187CD1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447A13" w:rsidRDefault="00187CD1" w:rsidP="00535D38">
            <w:pPr>
              <w:jc w:val="center"/>
              <w:rPr>
                <w:i/>
              </w:rPr>
            </w:pPr>
            <w:r w:rsidRPr="00447A13">
              <w:rPr>
                <w:i/>
              </w:rPr>
              <w:t>ОЖ-Р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447A13" w:rsidRDefault="00187CD1" w:rsidP="00535D38">
            <w:pPr>
              <w:shd w:val="clear" w:color="auto" w:fill="FFFFFF"/>
              <w:rPr>
                <w:i/>
              </w:rPr>
            </w:pPr>
            <w:r w:rsidRPr="00447A13">
              <w:rPr>
                <w:i/>
              </w:rPr>
              <w:t>Зона жилая и рекреационная</w:t>
            </w:r>
          </w:p>
        </w:tc>
      </w:tr>
      <w:tr w:rsidR="0030552F" w:rsidRPr="0030552F" w:rsidTr="00187CD1">
        <w:tc>
          <w:tcPr>
            <w:tcW w:w="924" w:type="pct"/>
          </w:tcPr>
          <w:p w:rsidR="0030552F" w:rsidRPr="0030552F" w:rsidRDefault="0030552F" w:rsidP="00535D38">
            <w:pPr>
              <w:jc w:val="center"/>
            </w:pPr>
            <w:r w:rsidRPr="0030552F">
              <w:t>ОЖ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52F" w:rsidRPr="0030552F" w:rsidRDefault="0030552F" w:rsidP="00535D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552F">
              <w:t>Общественно-жилая зона</w:t>
            </w:r>
          </w:p>
        </w:tc>
      </w:tr>
      <w:tr w:rsidR="0030552F" w:rsidRPr="0030552F" w:rsidTr="00187CD1">
        <w:tc>
          <w:tcPr>
            <w:tcW w:w="924" w:type="pct"/>
          </w:tcPr>
          <w:p w:rsidR="0030552F" w:rsidRPr="0030552F" w:rsidRDefault="0030552F" w:rsidP="00535D38">
            <w:pPr>
              <w:jc w:val="center"/>
            </w:pPr>
            <w:r w:rsidRPr="0030552F">
              <w:t>П</w:t>
            </w:r>
          </w:p>
        </w:tc>
        <w:tc>
          <w:tcPr>
            <w:tcW w:w="4076" w:type="pct"/>
          </w:tcPr>
          <w:p w:rsidR="0030552F" w:rsidRPr="0030552F" w:rsidRDefault="0030552F" w:rsidP="00535D3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0552F">
              <w:t>Зона производственная, инженерной и транспортной инфраструктур</w:t>
            </w:r>
          </w:p>
        </w:tc>
      </w:tr>
      <w:tr w:rsidR="0030552F" w:rsidRPr="0030552F" w:rsidTr="00187CD1">
        <w:tc>
          <w:tcPr>
            <w:tcW w:w="924" w:type="pct"/>
          </w:tcPr>
          <w:p w:rsidR="0030552F" w:rsidRPr="0030552F" w:rsidRDefault="0030552F" w:rsidP="00535D38">
            <w:pPr>
              <w:jc w:val="center"/>
            </w:pPr>
            <w:r w:rsidRPr="0030552F">
              <w:t>П-Н</w:t>
            </w:r>
          </w:p>
        </w:tc>
        <w:tc>
          <w:tcPr>
            <w:tcW w:w="4076" w:type="pct"/>
          </w:tcPr>
          <w:p w:rsidR="0030552F" w:rsidRPr="00B00D79" w:rsidRDefault="0030552F" w:rsidP="00535D38">
            <w:pPr>
              <w:shd w:val="clear" w:color="auto" w:fill="FFFFFF"/>
            </w:pPr>
            <w:r w:rsidRPr="001C346C">
              <w:t xml:space="preserve">Производственно-коммунальная зона объектов </w:t>
            </w:r>
            <w:r w:rsidRPr="001C346C">
              <w:rPr>
                <w:lang w:val="en-US"/>
              </w:rPr>
              <w:t>III</w:t>
            </w:r>
            <w:r w:rsidRPr="001C346C">
              <w:t>-</w:t>
            </w:r>
            <w:r w:rsidRPr="001C346C">
              <w:rPr>
                <w:lang w:val="en-US"/>
              </w:rPr>
              <w:t>V</w:t>
            </w:r>
            <w:r w:rsidRPr="001C346C">
              <w:t xml:space="preserve"> класса санитарной опасности (за пределами границ населённых пунктов)</w:t>
            </w:r>
          </w:p>
        </w:tc>
      </w:tr>
      <w:tr w:rsidR="00187CD1" w:rsidRPr="00B00D79" w:rsidTr="0030552F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30552F" w:rsidRDefault="00187CD1" w:rsidP="00535D38">
            <w:pPr>
              <w:jc w:val="center"/>
            </w:pPr>
            <w:r w:rsidRPr="0030552F">
              <w:t>СХ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7C7A65" w:rsidRDefault="00187CD1" w:rsidP="00535D38">
            <w:pPr>
              <w:shd w:val="clear" w:color="auto" w:fill="FFFFFF"/>
            </w:pPr>
            <w:r w:rsidRPr="007C7A65">
              <w:t>Сельскохозяйственная зона</w:t>
            </w:r>
          </w:p>
        </w:tc>
      </w:tr>
      <w:tr w:rsidR="00187CD1" w:rsidRPr="00B00D79" w:rsidTr="00221CFB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30552F" w:rsidRDefault="00187CD1" w:rsidP="00535D38">
            <w:pPr>
              <w:jc w:val="center"/>
            </w:pPr>
            <w:r w:rsidRPr="0030552F">
              <w:t>Р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B00D79" w:rsidRDefault="00187CD1" w:rsidP="00535D38">
            <w:pPr>
              <w:shd w:val="clear" w:color="auto" w:fill="FFFFFF"/>
              <w:ind w:firstLine="18"/>
            </w:pPr>
            <w:r w:rsidRPr="001C346C">
              <w:t>Рекреационная зона</w:t>
            </w:r>
          </w:p>
        </w:tc>
      </w:tr>
    </w:tbl>
    <w:p w:rsidR="00CF6B71" w:rsidRDefault="00CF6B71" w:rsidP="00535D38">
      <w:r>
        <w:br w:type="page"/>
      </w:r>
    </w:p>
    <w:p w:rsidR="00187CD1" w:rsidRDefault="00187CD1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lastRenderedPageBreak/>
        <w:t xml:space="preserve">В </w:t>
      </w:r>
      <w:r w:rsidRPr="00CF6B71">
        <w:t>стать</w:t>
      </w:r>
      <w:r>
        <w:t>е</w:t>
      </w:r>
      <w:r w:rsidRPr="00CF6B71">
        <w:t xml:space="preserve"> </w:t>
      </w:r>
      <w:r>
        <w:t>17</w:t>
      </w:r>
      <w:r w:rsidRPr="00CF6B71">
        <w:t xml:space="preserve"> </w:t>
      </w:r>
      <w:r>
        <w:t>слова «</w:t>
      </w:r>
      <w:r w:rsidRPr="00187CD1">
        <w:t>Для Земель населённых пунктов, отображённых на Карте градостроительного зонирования применительно к территориям за пределами границ населённых пунктов, установлена территориальная зона Ж-1, если иное не отображено на картах градостроительного зонирования применительно к территориям населённых пунктов.</w:t>
      </w:r>
      <w:r>
        <w:t xml:space="preserve">» </w:t>
      </w:r>
      <w:r w:rsidRPr="00F73189">
        <w:t>признать утративш</w:t>
      </w:r>
      <w:r>
        <w:t>ими</w:t>
      </w:r>
      <w:r w:rsidRPr="00F73189">
        <w:t xml:space="preserve"> силу</w:t>
      </w:r>
      <w:r>
        <w:t>.</w:t>
      </w:r>
    </w:p>
    <w:p w:rsidR="00187CD1" w:rsidRDefault="00187CD1" w:rsidP="00535D38">
      <w:pPr>
        <w:numPr>
          <w:ilvl w:val="0"/>
          <w:numId w:val="1"/>
        </w:numPr>
        <w:spacing w:after="240"/>
        <w:jc w:val="both"/>
      </w:pPr>
      <w:r w:rsidRPr="00706C8B">
        <w:t>Таблиц</w:t>
      </w:r>
      <w:r>
        <w:t>у</w:t>
      </w:r>
      <w:r w:rsidRPr="00706C8B">
        <w:t xml:space="preserve"> </w:t>
      </w:r>
      <w:r>
        <w:t>2</w:t>
      </w:r>
      <w:r w:rsidRPr="00706C8B">
        <w:t xml:space="preserve"> </w:t>
      </w:r>
      <w:r>
        <w:t xml:space="preserve">статьи 18 </w:t>
      </w:r>
      <w:r w:rsidRPr="00F32E12">
        <w:t>изложить в новой редакции:</w:t>
      </w:r>
    </w:p>
    <w:p w:rsidR="00187CD1" w:rsidRPr="00187CD1" w:rsidRDefault="00187CD1" w:rsidP="00535D38">
      <w:pPr>
        <w:keepNext/>
        <w:ind w:firstLine="709"/>
        <w:jc w:val="right"/>
        <w:outlineLvl w:val="3"/>
        <w:rPr>
          <w:b/>
          <w:bCs/>
          <w:sz w:val="20"/>
          <w:szCs w:val="20"/>
        </w:rPr>
      </w:pPr>
      <w:r w:rsidRPr="00187CD1">
        <w:rPr>
          <w:b/>
          <w:bCs/>
          <w:sz w:val="20"/>
          <w:szCs w:val="20"/>
        </w:rPr>
        <w:t>Таблица 2. Виды разрешенного использования по территориальным зонам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5593"/>
        <w:gridCol w:w="628"/>
        <w:gridCol w:w="583"/>
        <w:gridCol w:w="519"/>
        <w:gridCol w:w="471"/>
        <w:gridCol w:w="564"/>
        <w:gridCol w:w="467"/>
        <w:gridCol w:w="435"/>
      </w:tblGrid>
      <w:tr w:rsidR="00187CD1" w:rsidRPr="00187CD1" w:rsidTr="006643A7">
        <w:trPr>
          <w:cantSplit/>
          <w:trHeight w:val="271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вида разрешенного использования ЗУ и ОКС 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ОЖ-Р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ОЖ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П-Н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СХ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CD1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Для ведения личного подсобного хозяйства (приусадебный ЗУ)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Среднеэтажная жилая застройка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trHeight w:val="11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3.1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Бытовое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3.4.1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3.4.2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3.5.1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3.5.2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Культурное развитие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3.10.1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3.10.2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Приюты для животных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Деловое управление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Рынки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Общественное питание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4.8.1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2.7.1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Служебные гаражи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4.9.1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CD1">
              <w:rPr>
                <w:rFonts w:ascii="Arial" w:hAnsi="Arial" w:cs="Arial"/>
                <w:sz w:val="18"/>
                <w:szCs w:val="18"/>
              </w:rPr>
              <w:t>Выставочно</w:t>
            </w:r>
            <w:proofErr w:type="spellEnd"/>
            <w:r w:rsidRPr="00187CD1">
              <w:rPr>
                <w:rFonts w:ascii="Arial" w:hAnsi="Arial" w:cs="Arial"/>
                <w:sz w:val="18"/>
                <w:szCs w:val="18"/>
              </w:rPr>
              <w:t>-ярмарочная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Оборудованные площадки для занятий спортом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Водный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Спортивные базы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43A7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5.2.1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A7" w:rsidRPr="00187CD1" w:rsidRDefault="006643A7" w:rsidP="006643A7">
            <w:pPr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7" w:rsidRPr="00447A13" w:rsidRDefault="006643A7" w:rsidP="006643A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7" w:rsidRPr="00187CD1" w:rsidRDefault="006643A7" w:rsidP="006643A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D3F9E" w:rsidRPr="003D3F9E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5.3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9E" w:rsidRPr="003D3F9E" w:rsidRDefault="003D3F9E" w:rsidP="003D3F9E">
            <w:pPr>
              <w:outlineLvl w:val="3"/>
              <w:rPr>
                <w:rFonts w:ascii="Arial" w:hAnsi="Arial"/>
                <w:i/>
                <w:sz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Охота и рыбалка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E" w:rsidRPr="003D3F9E" w:rsidRDefault="003D3F9E" w:rsidP="003D3F9E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3D3F9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Тяжелая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Легкая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6.3.1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Пищевая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Связь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Склады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6.11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Calibri" w:hAnsi="Arial"/>
                <w:sz w:val="18"/>
                <w:szCs w:val="22"/>
                <w:lang w:val="en-US"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Calibri" w:hAnsi="Arial"/>
                <w:sz w:val="18"/>
                <w:szCs w:val="22"/>
                <w:lang w:val="en-US"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lastRenderedPageBreak/>
              <w:t>9.1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9.2.1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Санаторная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11.3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187CD1" w:rsidRPr="00187CD1" w:rsidTr="006643A7">
        <w:trPr>
          <w:trHeight w:val="11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12.1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12.2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eastAsia="MS Mincho" w:hAnsi="Arial" w:cs="Arial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187CD1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Земельные участки общего назначения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7CD1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D1" w:rsidRPr="00187CD1" w:rsidRDefault="00187CD1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Ведение огородничества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1" w:rsidRPr="00187CD1" w:rsidRDefault="00187CD1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175E" w:rsidRPr="00187CD1" w:rsidTr="006643A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5E" w:rsidRPr="00187CD1" w:rsidRDefault="004E175E" w:rsidP="00535D38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Ведение садоводства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447A13" w:rsidRDefault="004E175E" w:rsidP="00535D38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447A13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E" w:rsidRPr="00187CD1" w:rsidRDefault="004E175E" w:rsidP="00535D38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187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87CD1" w:rsidRDefault="00187CD1" w:rsidP="00535D38">
      <w:pPr>
        <w:spacing w:after="240"/>
        <w:ind w:left="360"/>
        <w:jc w:val="both"/>
      </w:pPr>
    </w:p>
    <w:p w:rsidR="00447A13" w:rsidRDefault="00447A13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С</w:t>
      </w:r>
      <w:r w:rsidRPr="00CF6B71">
        <w:t>тать</w:t>
      </w:r>
      <w:r>
        <w:t>ю 19</w:t>
      </w:r>
      <w:r w:rsidRPr="00CF6B71">
        <w:t xml:space="preserve"> </w:t>
      </w:r>
      <w:r w:rsidRPr="00F32E12">
        <w:t>изложить в новой редакции:</w:t>
      </w:r>
    </w:p>
    <w:p w:rsidR="00447A13" w:rsidRPr="00447A13" w:rsidRDefault="008122F7" w:rsidP="00535D38">
      <w:pPr>
        <w:keepNext/>
        <w:spacing w:before="120"/>
        <w:jc w:val="both"/>
        <w:outlineLvl w:val="2"/>
        <w:rPr>
          <w:bCs/>
          <w:szCs w:val="26"/>
        </w:rPr>
      </w:pPr>
      <w:bookmarkStart w:id="6" w:name="_Toc531808776"/>
      <w:bookmarkStart w:id="7" w:name="_Toc45632321"/>
      <w:r>
        <w:rPr>
          <w:b/>
          <w:bCs/>
          <w:szCs w:val="26"/>
        </w:rPr>
        <w:t>«</w:t>
      </w:r>
      <w:r w:rsidR="00447A13" w:rsidRPr="00447A13">
        <w:rPr>
          <w:b/>
          <w:bCs/>
          <w:szCs w:val="26"/>
        </w:rPr>
        <w:t>Статья 19.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6"/>
      <w:bookmarkEnd w:id="7"/>
    </w:p>
    <w:p w:rsidR="00447A13" w:rsidRPr="00447A13" w:rsidRDefault="00447A13" w:rsidP="00535D38">
      <w:pPr>
        <w:ind w:firstLine="709"/>
        <w:jc w:val="both"/>
      </w:pPr>
      <w:r w:rsidRPr="00447A13">
        <w:t>Места допустимого размещения зданий, строений, сооружений (границы, в пределах которых разрешается строительство объектов капитального строительства) определяются с помощью линий отступа от красных линий и минимальных отступов от границ земельного участка*.</w:t>
      </w:r>
    </w:p>
    <w:p w:rsidR="00447A13" w:rsidRPr="00447A13" w:rsidRDefault="00447A13" w:rsidP="00535D38">
      <w:pPr>
        <w:ind w:firstLine="709"/>
        <w:jc w:val="both"/>
      </w:pPr>
    </w:p>
    <w:p w:rsidR="00447A13" w:rsidRPr="00447A13" w:rsidRDefault="00447A13" w:rsidP="00535D38">
      <w:pPr>
        <w:keepNext/>
        <w:ind w:firstLine="709"/>
        <w:jc w:val="right"/>
        <w:outlineLvl w:val="3"/>
        <w:rPr>
          <w:b/>
          <w:bCs/>
          <w:sz w:val="20"/>
          <w:szCs w:val="20"/>
        </w:rPr>
      </w:pPr>
      <w:r w:rsidRPr="00447A13">
        <w:rPr>
          <w:b/>
          <w:bCs/>
          <w:sz w:val="20"/>
          <w:szCs w:val="20"/>
        </w:rPr>
        <w:t>Таблица 3. Перечень предельных (максимальных и (или) минимальных) размеров ЗУ и параметров разрешенного строительства, реконструкции ОКС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391"/>
        <w:gridCol w:w="1200"/>
        <w:gridCol w:w="1196"/>
        <w:gridCol w:w="1646"/>
        <w:gridCol w:w="1348"/>
        <w:gridCol w:w="1043"/>
      </w:tblGrid>
      <w:tr w:rsidR="00447A13" w:rsidRPr="00447A13" w:rsidTr="0051491F">
        <w:trPr>
          <w:cantSplit/>
          <w:trHeight w:val="2004"/>
        </w:trPr>
        <w:tc>
          <w:tcPr>
            <w:tcW w:w="464" w:type="pct"/>
            <w:vAlign w:val="center"/>
          </w:tcPr>
          <w:p w:rsidR="00447A13" w:rsidRPr="00447A13" w:rsidRDefault="00447A13" w:rsidP="00535D38">
            <w:pPr>
              <w:jc w:val="center"/>
              <w:rPr>
                <w:b/>
              </w:rPr>
            </w:pPr>
            <w:r w:rsidRPr="00447A13">
              <w:rPr>
                <w:b/>
              </w:rPr>
              <w:t>Обозначение</w:t>
            </w:r>
          </w:p>
        </w:tc>
        <w:tc>
          <w:tcPr>
            <w:tcW w:w="1229" w:type="pct"/>
            <w:tcMar>
              <w:left w:w="11" w:type="dxa"/>
              <w:right w:w="11" w:type="dxa"/>
            </w:tcMar>
            <w:vAlign w:val="center"/>
          </w:tcPr>
          <w:p w:rsidR="00447A13" w:rsidRPr="00447A13" w:rsidRDefault="00447A13" w:rsidP="00535D38">
            <w:pPr>
              <w:jc w:val="center"/>
              <w:rPr>
                <w:b/>
              </w:rPr>
            </w:pPr>
            <w:r w:rsidRPr="00447A13">
              <w:rPr>
                <w:b/>
              </w:rPr>
              <w:t>Наименование территориальной зоны</w:t>
            </w:r>
          </w:p>
        </w:tc>
        <w:tc>
          <w:tcPr>
            <w:tcW w:w="617" w:type="pct"/>
            <w:vAlign w:val="center"/>
          </w:tcPr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 xml:space="preserve">Минимальная площадь ЗУ </w:t>
            </w:r>
          </w:p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(га)</w:t>
            </w:r>
          </w:p>
        </w:tc>
        <w:tc>
          <w:tcPr>
            <w:tcW w:w="615" w:type="pct"/>
            <w:vAlign w:val="center"/>
          </w:tcPr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Максимальная площадь ЗУ</w:t>
            </w:r>
          </w:p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(га)</w:t>
            </w:r>
          </w:p>
        </w:tc>
        <w:tc>
          <w:tcPr>
            <w:tcW w:w="846" w:type="pct"/>
            <w:vAlign w:val="center"/>
          </w:tcPr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Минимальный отступ от границ ЗУ в целях определения мест допустимого размещения ОКС* (м)</w:t>
            </w:r>
          </w:p>
        </w:tc>
        <w:tc>
          <w:tcPr>
            <w:tcW w:w="693" w:type="pct"/>
            <w:tcMar>
              <w:left w:w="11" w:type="dxa"/>
              <w:right w:w="11" w:type="dxa"/>
            </w:tcMar>
            <w:vAlign w:val="center"/>
          </w:tcPr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Максимальный процент застройки **</w:t>
            </w:r>
          </w:p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(%)</w:t>
            </w:r>
          </w:p>
        </w:tc>
        <w:tc>
          <w:tcPr>
            <w:tcW w:w="536" w:type="pct"/>
            <w:vAlign w:val="center"/>
          </w:tcPr>
          <w:p w:rsidR="00447A13" w:rsidRPr="00447A13" w:rsidRDefault="00447A13" w:rsidP="00535D38">
            <w:pPr>
              <w:jc w:val="center"/>
              <w:outlineLvl w:val="3"/>
              <w:rPr>
                <w:b/>
                <w:bCs/>
              </w:rPr>
            </w:pPr>
            <w:r w:rsidRPr="00447A13">
              <w:rPr>
                <w:b/>
                <w:bCs/>
              </w:rPr>
              <w:t>Предельная высота ОКС (м)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</w:pPr>
            <w:r w:rsidRPr="00447A13">
              <w:t>Ж-1</w:t>
            </w:r>
          </w:p>
        </w:tc>
        <w:tc>
          <w:tcPr>
            <w:tcW w:w="1229" w:type="pct"/>
          </w:tcPr>
          <w:p w:rsidR="003E7A25" w:rsidRPr="0030552F" w:rsidRDefault="003E7A25" w:rsidP="00535D3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0552F">
              <w:t>Жилая зона индивидуальной застройки</w:t>
            </w:r>
          </w:p>
        </w:tc>
        <w:tc>
          <w:tcPr>
            <w:tcW w:w="617" w:type="pct"/>
            <w:vAlign w:val="center"/>
          </w:tcPr>
          <w:p w:rsidR="003E7A25" w:rsidRPr="001C346C" w:rsidRDefault="003E7A25" w:rsidP="00535D38">
            <w:pPr>
              <w:ind w:firstLine="33"/>
              <w:jc w:val="center"/>
              <w:outlineLvl w:val="3"/>
            </w:pPr>
            <w:r w:rsidRPr="001C346C">
              <w:rPr>
                <w:bCs/>
              </w:rPr>
              <w:t>0,05</w:t>
            </w:r>
          </w:p>
        </w:tc>
        <w:tc>
          <w:tcPr>
            <w:tcW w:w="615" w:type="pct"/>
            <w:vAlign w:val="center"/>
          </w:tcPr>
          <w:p w:rsidR="003E7A25" w:rsidRPr="001C346C" w:rsidRDefault="003E7A25" w:rsidP="00535D38">
            <w:pPr>
              <w:ind w:firstLine="33"/>
              <w:jc w:val="center"/>
              <w:outlineLvl w:val="3"/>
            </w:pPr>
            <w:r w:rsidRPr="001C346C">
              <w:rPr>
                <w:bCs/>
              </w:rPr>
              <w:t>0,3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3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40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15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  <w:rPr>
                <w:i/>
              </w:rPr>
            </w:pPr>
            <w:r w:rsidRPr="00447A13">
              <w:rPr>
                <w:i/>
              </w:rPr>
              <w:t>ОЖ-Р</w:t>
            </w:r>
          </w:p>
        </w:tc>
        <w:tc>
          <w:tcPr>
            <w:tcW w:w="1229" w:type="pct"/>
          </w:tcPr>
          <w:p w:rsidR="003E7A25" w:rsidRPr="00447A13" w:rsidRDefault="003E7A25" w:rsidP="00535D38">
            <w:pPr>
              <w:shd w:val="clear" w:color="auto" w:fill="FFFFFF"/>
              <w:rPr>
                <w:i/>
              </w:rPr>
            </w:pPr>
            <w:r w:rsidRPr="00447A13">
              <w:rPr>
                <w:i/>
              </w:rPr>
              <w:t>Зона жилая и рекреационная</w:t>
            </w:r>
          </w:p>
        </w:tc>
        <w:tc>
          <w:tcPr>
            <w:tcW w:w="617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15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3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40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15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</w:pPr>
            <w:r w:rsidRPr="00447A13">
              <w:t>ОЖ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A25" w:rsidRPr="0030552F" w:rsidRDefault="003E7A25" w:rsidP="00535D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552F">
              <w:t>Общественно-жилая зона</w:t>
            </w:r>
          </w:p>
        </w:tc>
        <w:tc>
          <w:tcPr>
            <w:tcW w:w="617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15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  <w:rPr>
                <w:rFonts w:eastAsia="Calibri"/>
                <w:szCs w:val="22"/>
                <w:lang w:eastAsia="en-US"/>
              </w:rPr>
            </w:pPr>
            <w:r w:rsidRPr="00447A13">
              <w:rPr>
                <w:bCs/>
              </w:rPr>
              <w:t>нпу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  <w:rPr>
                <w:rFonts w:eastAsia="Calibri"/>
                <w:szCs w:val="22"/>
                <w:lang w:eastAsia="en-US"/>
              </w:rPr>
            </w:pPr>
            <w:r w:rsidRPr="00447A13">
              <w:rPr>
                <w:bCs/>
              </w:rPr>
              <w:t>нпу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30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</w:pPr>
            <w:r w:rsidRPr="00447A13">
              <w:t>П</w:t>
            </w:r>
          </w:p>
        </w:tc>
        <w:tc>
          <w:tcPr>
            <w:tcW w:w="1229" w:type="pct"/>
          </w:tcPr>
          <w:p w:rsidR="003E7A25" w:rsidRPr="0030552F" w:rsidRDefault="003E7A25" w:rsidP="00535D3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0552F">
              <w:t>Зона производственная, инженерной и транспортной инфраструктур</w:t>
            </w:r>
          </w:p>
        </w:tc>
        <w:tc>
          <w:tcPr>
            <w:tcW w:w="617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15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20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</w:pPr>
            <w:r w:rsidRPr="00447A13">
              <w:t>П-Н</w:t>
            </w:r>
          </w:p>
        </w:tc>
        <w:tc>
          <w:tcPr>
            <w:tcW w:w="1229" w:type="pct"/>
          </w:tcPr>
          <w:p w:rsidR="003E7A25" w:rsidRPr="00B00D79" w:rsidRDefault="003E7A25" w:rsidP="00535D38">
            <w:pPr>
              <w:shd w:val="clear" w:color="auto" w:fill="FFFFFF"/>
            </w:pPr>
            <w:r w:rsidRPr="001C346C">
              <w:t xml:space="preserve">Производственно-коммунальная зона объектов </w:t>
            </w:r>
            <w:r w:rsidRPr="001C346C">
              <w:rPr>
                <w:lang w:val="en-US"/>
              </w:rPr>
              <w:t>III</w:t>
            </w:r>
            <w:r w:rsidRPr="001C346C">
              <w:t>-</w:t>
            </w:r>
            <w:r w:rsidRPr="001C346C">
              <w:rPr>
                <w:lang w:val="en-US"/>
              </w:rPr>
              <w:t>V</w:t>
            </w:r>
            <w:r w:rsidRPr="001C346C">
              <w:t xml:space="preserve"> класса санитарной опасности (за пределами границ населённых пунктов)</w:t>
            </w:r>
          </w:p>
        </w:tc>
        <w:tc>
          <w:tcPr>
            <w:tcW w:w="617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15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20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</w:pPr>
            <w:r w:rsidRPr="00447A13">
              <w:t>СХ</w:t>
            </w:r>
          </w:p>
        </w:tc>
        <w:tc>
          <w:tcPr>
            <w:tcW w:w="1229" w:type="pct"/>
          </w:tcPr>
          <w:p w:rsidR="003E7A25" w:rsidRPr="007C7A65" w:rsidRDefault="003E7A25" w:rsidP="00535D38">
            <w:pPr>
              <w:shd w:val="clear" w:color="auto" w:fill="FFFFFF"/>
            </w:pPr>
            <w:r w:rsidRPr="007C7A65">
              <w:t>Сельскохозяйственн</w:t>
            </w:r>
            <w:r w:rsidRPr="007C7A65">
              <w:lastRenderedPageBreak/>
              <w:t>ая зона</w:t>
            </w:r>
          </w:p>
        </w:tc>
        <w:tc>
          <w:tcPr>
            <w:tcW w:w="617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lastRenderedPageBreak/>
              <w:t>нпу</w:t>
            </w:r>
          </w:p>
        </w:tc>
        <w:tc>
          <w:tcPr>
            <w:tcW w:w="615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20</w:t>
            </w:r>
          </w:p>
        </w:tc>
      </w:tr>
      <w:tr w:rsidR="003E7A25" w:rsidRPr="00447A13" w:rsidTr="0051491F">
        <w:tc>
          <w:tcPr>
            <w:tcW w:w="464" w:type="pct"/>
          </w:tcPr>
          <w:p w:rsidR="003E7A25" w:rsidRPr="00447A13" w:rsidRDefault="003E7A25" w:rsidP="00535D38">
            <w:pPr>
              <w:jc w:val="center"/>
            </w:pPr>
            <w:r w:rsidRPr="00447A13">
              <w:lastRenderedPageBreak/>
              <w:t>Р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A25" w:rsidRPr="00B00D79" w:rsidRDefault="003E7A25" w:rsidP="00535D38">
            <w:pPr>
              <w:shd w:val="clear" w:color="auto" w:fill="FFFFFF"/>
              <w:ind w:firstLine="18"/>
            </w:pPr>
            <w:r w:rsidRPr="001C346C">
              <w:t>Рекреационная зона</w:t>
            </w:r>
          </w:p>
        </w:tc>
        <w:tc>
          <w:tcPr>
            <w:tcW w:w="617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615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84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нпу</w:t>
            </w:r>
          </w:p>
        </w:tc>
        <w:tc>
          <w:tcPr>
            <w:tcW w:w="693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rPr>
                <w:bCs/>
              </w:rPr>
              <w:t>нпу</w:t>
            </w:r>
          </w:p>
        </w:tc>
        <w:tc>
          <w:tcPr>
            <w:tcW w:w="536" w:type="pct"/>
            <w:vAlign w:val="center"/>
          </w:tcPr>
          <w:p w:rsidR="003E7A25" w:rsidRPr="00447A13" w:rsidRDefault="003E7A25" w:rsidP="00535D38">
            <w:pPr>
              <w:ind w:firstLine="33"/>
              <w:jc w:val="center"/>
              <w:outlineLvl w:val="3"/>
            </w:pPr>
            <w:r w:rsidRPr="00447A13">
              <w:t>0</w:t>
            </w:r>
          </w:p>
        </w:tc>
      </w:tr>
    </w:tbl>
    <w:p w:rsidR="00447A13" w:rsidRPr="00447A13" w:rsidRDefault="00447A13" w:rsidP="00535D38">
      <w:pPr>
        <w:ind w:left="142"/>
        <w:jc w:val="both"/>
        <w:outlineLvl w:val="3"/>
        <w:rPr>
          <w:bCs/>
        </w:rPr>
      </w:pPr>
      <w:r w:rsidRPr="00447A13">
        <w:rPr>
          <w:bCs/>
        </w:rPr>
        <w:t>*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447A13" w:rsidRPr="00447A13" w:rsidRDefault="00447A13" w:rsidP="00535D38">
      <w:pPr>
        <w:ind w:left="142"/>
        <w:jc w:val="both"/>
        <w:outlineLvl w:val="3"/>
        <w:rPr>
          <w:bCs/>
        </w:rPr>
      </w:pPr>
      <w:r w:rsidRPr="00447A13">
        <w:rPr>
          <w:bCs/>
        </w:rPr>
        <w:t>**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47A13" w:rsidRPr="00447A13" w:rsidRDefault="00447A13" w:rsidP="00535D38">
      <w:pPr>
        <w:ind w:left="142"/>
        <w:outlineLvl w:val="3"/>
        <w:rPr>
          <w:bCs/>
        </w:rPr>
      </w:pPr>
    </w:p>
    <w:p w:rsidR="00447A13" w:rsidRPr="00447A13" w:rsidRDefault="00447A13" w:rsidP="00535D38">
      <w:pPr>
        <w:ind w:left="142" w:firstLine="566"/>
        <w:outlineLvl w:val="3"/>
        <w:rPr>
          <w:bCs/>
        </w:rPr>
      </w:pPr>
      <w:r w:rsidRPr="00447A13">
        <w:rPr>
          <w:bCs/>
        </w:rPr>
        <w:t xml:space="preserve">Условные обозначения к таблице: </w:t>
      </w:r>
    </w:p>
    <w:p w:rsidR="00447A13" w:rsidRPr="00447A13" w:rsidRDefault="00447A13" w:rsidP="00535D38">
      <w:pPr>
        <w:ind w:left="142"/>
        <w:outlineLvl w:val="3"/>
        <w:rPr>
          <w:bCs/>
        </w:rPr>
      </w:pPr>
      <w:r w:rsidRPr="00447A13">
        <w:rPr>
          <w:bCs/>
        </w:rPr>
        <w:t>ЗУ – земельный участок;</w:t>
      </w:r>
    </w:p>
    <w:p w:rsidR="00447A13" w:rsidRPr="00447A13" w:rsidRDefault="00447A13" w:rsidP="00535D38">
      <w:pPr>
        <w:ind w:left="142"/>
        <w:outlineLvl w:val="3"/>
        <w:rPr>
          <w:bCs/>
        </w:rPr>
      </w:pPr>
      <w:r w:rsidRPr="00447A13">
        <w:rPr>
          <w:bCs/>
        </w:rPr>
        <w:t>ОКС – объекты капитального строительства (здания, строения и сооружения);</w:t>
      </w:r>
    </w:p>
    <w:p w:rsidR="00447A13" w:rsidRPr="00447A13" w:rsidRDefault="00447A13" w:rsidP="00535D38">
      <w:pPr>
        <w:ind w:left="142"/>
        <w:outlineLvl w:val="3"/>
      </w:pPr>
      <w:r w:rsidRPr="00447A13">
        <w:rPr>
          <w:bCs/>
        </w:rPr>
        <w:t>нпу – предельный размер (параметр) не подлежит установлению</w:t>
      </w:r>
      <w:r w:rsidR="008122F7">
        <w:rPr>
          <w:bCs/>
        </w:rPr>
        <w:t>»</w:t>
      </w:r>
    </w:p>
    <w:p w:rsidR="00447A13" w:rsidRDefault="00447A13" w:rsidP="00535D38">
      <w:pPr>
        <w:spacing w:after="240"/>
        <w:jc w:val="both"/>
      </w:pPr>
    </w:p>
    <w:p w:rsidR="008122F7" w:rsidRDefault="008122F7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С</w:t>
      </w:r>
      <w:r w:rsidRPr="00CF6B71">
        <w:t>тать</w:t>
      </w:r>
      <w:r>
        <w:t>ю 20</w:t>
      </w:r>
      <w:r w:rsidRPr="00CF6B71">
        <w:t xml:space="preserve"> </w:t>
      </w:r>
      <w:r w:rsidRPr="00F32E12">
        <w:t>изложить в новой редакции:</w:t>
      </w:r>
    </w:p>
    <w:p w:rsidR="008122F7" w:rsidRPr="008122F7" w:rsidRDefault="002410CC" w:rsidP="00535D38">
      <w:pPr>
        <w:keepNext/>
        <w:spacing w:before="120"/>
        <w:jc w:val="both"/>
        <w:outlineLvl w:val="2"/>
        <w:rPr>
          <w:b/>
          <w:bCs/>
          <w:szCs w:val="26"/>
        </w:rPr>
      </w:pPr>
      <w:r>
        <w:rPr>
          <w:b/>
        </w:rPr>
        <w:t>«</w:t>
      </w:r>
      <w:bookmarkStart w:id="8" w:name="_Toc25624576"/>
      <w:r w:rsidR="008122F7" w:rsidRPr="008122F7">
        <w:rPr>
          <w:b/>
          <w:bCs/>
          <w:szCs w:val="26"/>
        </w:rPr>
        <w:t>Статья 20. Описание территориальных зон.</w:t>
      </w:r>
      <w:bookmarkEnd w:id="8"/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8122F7">
        <w:rPr>
          <w:b/>
        </w:rPr>
        <w:t>Жилая зона индивидуальной застройки Ж-1.</w:t>
      </w:r>
    </w:p>
    <w:p w:rsidR="008122F7" w:rsidRPr="008122F7" w:rsidRDefault="008122F7" w:rsidP="00535D38">
      <w:pPr>
        <w:ind w:firstLine="709"/>
        <w:jc w:val="both"/>
      </w:pPr>
      <w:r w:rsidRPr="008122F7">
        <w:t>Жилая зона индивидуальной застройки – территории, застроенные или планируемые к застройке индивидуальными жилыми домами, блокированными домами, а также для размещения участков для ведения личного подсобного хозяйства.</w:t>
      </w:r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  <w:i/>
        </w:rPr>
      </w:pPr>
      <w:r w:rsidRPr="00FA69BE">
        <w:rPr>
          <w:b/>
          <w:i/>
        </w:rPr>
        <w:t>Зона жилая и рекреационная</w:t>
      </w:r>
      <w:r w:rsidRPr="008122F7">
        <w:rPr>
          <w:b/>
          <w:i/>
        </w:rPr>
        <w:t xml:space="preserve"> </w:t>
      </w:r>
      <w:r w:rsidRPr="00FA69BE">
        <w:rPr>
          <w:b/>
          <w:i/>
        </w:rPr>
        <w:t>О</w:t>
      </w:r>
      <w:r w:rsidRPr="008122F7">
        <w:rPr>
          <w:b/>
          <w:i/>
        </w:rPr>
        <w:t>Ж-</w:t>
      </w:r>
      <w:r w:rsidRPr="00FA69BE">
        <w:rPr>
          <w:b/>
          <w:i/>
        </w:rPr>
        <w:t>Р</w:t>
      </w:r>
      <w:r w:rsidRPr="008122F7">
        <w:rPr>
          <w:b/>
          <w:i/>
        </w:rPr>
        <w:t>.</w:t>
      </w:r>
    </w:p>
    <w:p w:rsidR="008122F7" w:rsidRPr="008122F7" w:rsidRDefault="008122F7" w:rsidP="00535D38">
      <w:pPr>
        <w:ind w:firstLine="709"/>
        <w:jc w:val="both"/>
        <w:rPr>
          <w:i/>
        </w:rPr>
      </w:pPr>
      <w:r w:rsidRPr="00FA69BE">
        <w:rPr>
          <w:i/>
        </w:rPr>
        <w:t>Зона жилая и рекреационная</w:t>
      </w:r>
      <w:r w:rsidRPr="008122F7">
        <w:rPr>
          <w:i/>
        </w:rPr>
        <w:t xml:space="preserve"> – территории, застроенные или планируемые к застройке индивидуальными жилыми домами, блокированными домами</w:t>
      </w:r>
      <w:r w:rsidRPr="00FA69BE">
        <w:rPr>
          <w:i/>
        </w:rPr>
        <w:t>, объектами оздоровительного назначения, вспомогательными зданиями и сооружениями, а также для размещения игровых и спортивных площадок</w:t>
      </w:r>
      <w:r w:rsidRPr="008122F7">
        <w:rPr>
          <w:i/>
        </w:rPr>
        <w:t>, участков для ведения личного подсобного хозяйства.</w:t>
      </w:r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8122F7">
        <w:rPr>
          <w:b/>
        </w:rPr>
        <w:t>Общественно -</w:t>
      </w:r>
      <w:r w:rsidRPr="008122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22F7">
        <w:rPr>
          <w:b/>
        </w:rPr>
        <w:t>жилая зона ОЖ.</w:t>
      </w:r>
    </w:p>
    <w:p w:rsidR="008122F7" w:rsidRPr="008122F7" w:rsidRDefault="008122F7" w:rsidP="00535D38">
      <w:pPr>
        <w:ind w:firstLine="709"/>
        <w:jc w:val="both"/>
      </w:pPr>
      <w:r w:rsidRPr="008122F7">
        <w:t>Общественно -</w:t>
      </w:r>
      <w:r w:rsidRPr="008122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22F7">
        <w:t xml:space="preserve">жилая зона – территории, застроенные или планируемые к застройке многоквартирными домами, административно-деловыми, банковскими, торговыми зданиями, зданиями многофункционального назначения, объектами лечебно-оздоровительного, учебного, социального и коммунально-бытового назначения, вспомогательными зданиями и сооружениями, а также для размещения скверов, игровых и спортивных площадок. </w:t>
      </w:r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8122F7">
        <w:rPr>
          <w:b/>
        </w:rPr>
        <w:t>Зона производственная, инженерной и транспортной инфраструктур П.</w:t>
      </w:r>
    </w:p>
    <w:p w:rsidR="008122F7" w:rsidRPr="008122F7" w:rsidRDefault="008122F7" w:rsidP="00535D38">
      <w:pPr>
        <w:ind w:firstLine="709"/>
        <w:jc w:val="both"/>
      </w:pPr>
      <w:r w:rsidRPr="008122F7">
        <w:t>Зона производственная, инженерной и транспортной инфраструктур – предназначена для размещения производственных объектов с различными нормативами воздействия на окружающую среду, а также для размещения объектов управленческой деятельности производственных объектов, складских объектов, объектов оптовой торговли, транспорта, для установления санитарно-защитных зон таких объектов в соответствии с требованиями технических регламентов, а также для обеспечения условий размещения объектов капитального строительства в целях извлечения прибыли на основании торговой, банковской и иной предпринимательской деятельности, а также общественного использования объектов капитального строительства.</w:t>
      </w:r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8122F7">
        <w:rPr>
          <w:b/>
        </w:rPr>
        <w:lastRenderedPageBreak/>
        <w:t>Производственно-коммунальная зона объектов III-V класса санитарной опасности П-Н.</w:t>
      </w:r>
    </w:p>
    <w:p w:rsidR="008122F7" w:rsidRPr="008122F7" w:rsidRDefault="008122F7" w:rsidP="00535D38">
      <w:pPr>
        <w:ind w:firstLine="709"/>
        <w:jc w:val="both"/>
      </w:pPr>
      <w:r w:rsidRPr="008122F7">
        <w:t>Производственно-коммунальная зона объектов III-V класса санитарной опасности – предназначена для размещения производственных объектов с различными нормативами воздействия на окружающую среду, а также для размещения объектов управленческой деятельности производственных объектов, складских объектов, транспорта, для установления санитарно-защитных зон таких объектов в соответствии с требованиями технических регламентов.</w:t>
      </w:r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8122F7">
        <w:rPr>
          <w:b/>
        </w:rPr>
        <w:t>Сельскохозяйственная зона СХ.</w:t>
      </w:r>
    </w:p>
    <w:p w:rsidR="008122F7" w:rsidRPr="008122F7" w:rsidRDefault="008122F7" w:rsidP="00535D38">
      <w:pPr>
        <w:ind w:firstLine="709"/>
        <w:jc w:val="both"/>
      </w:pPr>
      <w:r w:rsidRPr="008122F7">
        <w:rPr>
          <w:bCs/>
        </w:rPr>
        <w:t xml:space="preserve">Зона сельскохозяйственного использования – территории, предназначенная для ведения сельского хозяйства, </w:t>
      </w:r>
      <w:r w:rsidRPr="008122F7">
        <w:t>в том числе размещение зданий и сооружений, используемых для хранения и переработки сельскохозяйственной продукции,</w:t>
      </w:r>
      <w:r w:rsidRPr="008122F7">
        <w:rPr>
          <w:bCs/>
        </w:rPr>
        <w:t xml:space="preserve"> выращивания сельскохозяйственной продукции, выпаса скота и сенокошения.</w:t>
      </w:r>
    </w:p>
    <w:p w:rsidR="008122F7" w:rsidRPr="008122F7" w:rsidRDefault="008122F7" w:rsidP="00535D38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8122F7">
        <w:rPr>
          <w:b/>
        </w:rPr>
        <w:t>Рекреационная зона Р.</w:t>
      </w:r>
    </w:p>
    <w:p w:rsidR="002410CC" w:rsidRDefault="008122F7" w:rsidP="00535D38">
      <w:pPr>
        <w:widowControl w:val="0"/>
        <w:autoSpaceDE w:val="0"/>
        <w:autoSpaceDN w:val="0"/>
        <w:adjustRightInd w:val="0"/>
        <w:ind w:firstLine="720"/>
        <w:jc w:val="both"/>
      </w:pPr>
      <w:r w:rsidRPr="008122F7">
        <w:t>Рекреационная зона – рекреационные территории парков, скверов, иных озелененных зон, предназначенные для осуществления деятельности, связанной с сохранением отдельных естественных качеств окружающей природной среды путем ограничения хозяйственной деятельности в данной зоне.</w:t>
      </w:r>
      <w:r w:rsidR="002410CC">
        <w:t>»</w:t>
      </w:r>
    </w:p>
    <w:p w:rsidR="008122F7" w:rsidRPr="00CF6B71" w:rsidRDefault="008122F7" w:rsidP="00535D38">
      <w:pPr>
        <w:widowControl w:val="0"/>
        <w:autoSpaceDE w:val="0"/>
        <w:autoSpaceDN w:val="0"/>
        <w:adjustRightInd w:val="0"/>
        <w:ind w:firstLine="720"/>
        <w:jc w:val="both"/>
      </w:pPr>
    </w:p>
    <w:p w:rsidR="00E26D7C" w:rsidRDefault="00A52482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Раздел «</w:t>
      </w:r>
      <w:r w:rsidRPr="00A52482">
        <w:t>Ограничения использования земельных участков и объектов капитального строительства, предусмотренные сводами правил на основании технических регламентов</w:t>
      </w:r>
      <w:r>
        <w:t>» т</w:t>
      </w:r>
      <w:r w:rsidRPr="00A52482">
        <w:t>аблиц</w:t>
      </w:r>
      <w:r>
        <w:t>ы</w:t>
      </w:r>
      <w:r w:rsidRPr="00A52482">
        <w:t xml:space="preserve"> 4.1.</w:t>
      </w:r>
      <w:r>
        <w:t xml:space="preserve"> статьи 25 </w:t>
      </w:r>
      <w:r w:rsidRPr="00F32E12"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764"/>
        <w:gridCol w:w="602"/>
      </w:tblGrid>
      <w:tr w:rsidR="00A52482" w:rsidRPr="00A52482" w:rsidTr="00187CD1">
        <w:tc>
          <w:tcPr>
            <w:tcW w:w="0" w:type="auto"/>
            <w:gridSpan w:val="3"/>
            <w:vAlign w:val="center"/>
          </w:tcPr>
          <w:p w:rsidR="00A52482" w:rsidRPr="00A52482" w:rsidRDefault="00A52482" w:rsidP="00535D38">
            <w:pPr>
              <w:jc w:val="center"/>
              <w:rPr>
                <w:b/>
                <w:sz w:val="20"/>
                <w:szCs w:val="20"/>
              </w:rPr>
            </w:pPr>
            <w:r w:rsidRPr="00A52482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строительства, предусмотренные сводами правил на основании технических регламентов</w:t>
            </w:r>
          </w:p>
        </w:tc>
      </w:tr>
      <w:tr w:rsidR="00A52482" w:rsidRPr="00A52482" w:rsidTr="00A52482">
        <w:tc>
          <w:tcPr>
            <w:tcW w:w="880" w:type="dxa"/>
          </w:tcPr>
          <w:p w:rsidR="00A52482" w:rsidRPr="00A52482" w:rsidRDefault="00A52482" w:rsidP="00535D38">
            <w:pPr>
              <w:jc w:val="center"/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МР-авто</w:t>
            </w:r>
          </w:p>
        </w:tc>
        <w:tc>
          <w:tcPr>
            <w:tcW w:w="7843" w:type="dxa"/>
          </w:tcPr>
          <w:p w:rsidR="00A52482" w:rsidRPr="00A52482" w:rsidRDefault="00A52482" w:rsidP="00535D38">
            <w:pPr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Минимальные расстояния от магистральных дорог до жилой застройки</w:t>
            </w:r>
          </w:p>
        </w:tc>
        <w:tc>
          <w:tcPr>
            <w:tcW w:w="514" w:type="dxa"/>
            <w:vAlign w:val="center"/>
          </w:tcPr>
          <w:p w:rsidR="00A52482" w:rsidRPr="00A52482" w:rsidRDefault="00A52482" w:rsidP="00535D38">
            <w:pPr>
              <w:jc w:val="center"/>
              <w:rPr>
                <w:b/>
                <w:sz w:val="20"/>
                <w:szCs w:val="20"/>
              </w:rPr>
            </w:pPr>
            <w:r w:rsidRPr="00A52482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52482" w:rsidRPr="00A52482" w:rsidTr="00A52482">
        <w:trPr>
          <w:trHeight w:val="28"/>
        </w:trPr>
        <w:tc>
          <w:tcPr>
            <w:tcW w:w="880" w:type="dxa"/>
          </w:tcPr>
          <w:p w:rsidR="00A52482" w:rsidRPr="00A52482" w:rsidRDefault="00A52482" w:rsidP="00535D38">
            <w:pPr>
              <w:jc w:val="center"/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ЗВЗ</w:t>
            </w:r>
          </w:p>
        </w:tc>
        <w:tc>
          <w:tcPr>
            <w:tcW w:w="7843" w:type="dxa"/>
          </w:tcPr>
          <w:p w:rsidR="00A52482" w:rsidRPr="00A52482" w:rsidRDefault="00A52482" w:rsidP="00535D38">
            <w:pPr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Зона возможного затопления</w:t>
            </w:r>
          </w:p>
        </w:tc>
        <w:tc>
          <w:tcPr>
            <w:tcW w:w="514" w:type="dxa"/>
            <w:vAlign w:val="center"/>
          </w:tcPr>
          <w:p w:rsidR="00A52482" w:rsidRPr="00A52482" w:rsidRDefault="00A52482" w:rsidP="00535D38">
            <w:pPr>
              <w:jc w:val="center"/>
              <w:rPr>
                <w:b/>
                <w:sz w:val="20"/>
                <w:szCs w:val="20"/>
              </w:rPr>
            </w:pPr>
            <w:r w:rsidRPr="00A52482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52482" w:rsidRPr="00A52482" w:rsidTr="00A52482">
        <w:trPr>
          <w:trHeight w:val="21"/>
        </w:trPr>
        <w:tc>
          <w:tcPr>
            <w:tcW w:w="880" w:type="dxa"/>
          </w:tcPr>
          <w:p w:rsidR="00A52482" w:rsidRPr="00A52482" w:rsidRDefault="00A52482" w:rsidP="00535D38">
            <w:pPr>
              <w:jc w:val="center"/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МР-ОКН</w:t>
            </w:r>
          </w:p>
        </w:tc>
        <w:tc>
          <w:tcPr>
            <w:tcW w:w="7843" w:type="dxa"/>
          </w:tcPr>
          <w:p w:rsidR="00A52482" w:rsidRPr="00A52482" w:rsidRDefault="00A52482" w:rsidP="00535D38">
            <w:pPr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Минимальные расстояния от памятников истории и культуры до транспортных и инженерных коммуникаций</w:t>
            </w:r>
          </w:p>
        </w:tc>
        <w:tc>
          <w:tcPr>
            <w:tcW w:w="514" w:type="dxa"/>
            <w:vAlign w:val="center"/>
          </w:tcPr>
          <w:p w:rsidR="00A52482" w:rsidRPr="00A52482" w:rsidRDefault="00A52482" w:rsidP="00535D38">
            <w:pPr>
              <w:jc w:val="center"/>
              <w:rPr>
                <w:b/>
                <w:sz w:val="20"/>
                <w:szCs w:val="20"/>
              </w:rPr>
            </w:pPr>
            <w:r w:rsidRPr="00A52482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52482" w:rsidRPr="00A52482" w:rsidTr="00A52482">
        <w:trPr>
          <w:trHeight w:val="21"/>
        </w:trPr>
        <w:tc>
          <w:tcPr>
            <w:tcW w:w="880" w:type="dxa"/>
          </w:tcPr>
          <w:p w:rsidR="00A52482" w:rsidRPr="00A52482" w:rsidRDefault="00A52482" w:rsidP="00535D38">
            <w:pPr>
              <w:jc w:val="center"/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ППР-лес</w:t>
            </w:r>
          </w:p>
        </w:tc>
        <w:tc>
          <w:tcPr>
            <w:tcW w:w="7843" w:type="dxa"/>
          </w:tcPr>
          <w:p w:rsidR="00A52482" w:rsidRPr="00A52482" w:rsidRDefault="00A52482" w:rsidP="00535D38">
            <w:pPr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Противопожарные расстояния от границ застройки до лесных насаждений в лесничествах (лесопарках)</w:t>
            </w:r>
          </w:p>
        </w:tc>
        <w:tc>
          <w:tcPr>
            <w:tcW w:w="514" w:type="dxa"/>
            <w:vAlign w:val="center"/>
          </w:tcPr>
          <w:p w:rsidR="00A52482" w:rsidRPr="00A52482" w:rsidRDefault="00A52482" w:rsidP="00535D38">
            <w:pPr>
              <w:jc w:val="center"/>
              <w:rPr>
                <w:b/>
                <w:sz w:val="20"/>
                <w:szCs w:val="20"/>
              </w:rPr>
            </w:pPr>
            <w:r w:rsidRPr="00A52482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52482" w:rsidRPr="00A52482" w:rsidTr="00A52482">
        <w:trPr>
          <w:trHeight w:val="21"/>
        </w:trPr>
        <w:tc>
          <w:tcPr>
            <w:tcW w:w="880" w:type="dxa"/>
          </w:tcPr>
          <w:p w:rsidR="00A52482" w:rsidRPr="00A52482" w:rsidRDefault="00A52482" w:rsidP="00535D38">
            <w:pPr>
              <w:jc w:val="center"/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ППР-</w:t>
            </w:r>
            <w:proofErr w:type="spellStart"/>
            <w:r w:rsidRPr="00A52482">
              <w:rPr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7843" w:type="dxa"/>
          </w:tcPr>
          <w:p w:rsidR="00A52482" w:rsidRPr="00A52482" w:rsidRDefault="00A52482" w:rsidP="00535D38">
            <w:pPr>
              <w:rPr>
                <w:sz w:val="20"/>
                <w:szCs w:val="20"/>
              </w:rPr>
            </w:pPr>
            <w:r w:rsidRPr="00A52482">
              <w:rPr>
                <w:sz w:val="20"/>
                <w:szCs w:val="20"/>
              </w:rPr>
              <w:t>Противопожарные расстояния от жилых, общественных и вспомогательных зданий</w:t>
            </w:r>
          </w:p>
        </w:tc>
        <w:tc>
          <w:tcPr>
            <w:tcW w:w="514" w:type="dxa"/>
            <w:vAlign w:val="center"/>
          </w:tcPr>
          <w:p w:rsidR="00A52482" w:rsidRPr="00A52482" w:rsidRDefault="00A52482" w:rsidP="00535D38">
            <w:pPr>
              <w:jc w:val="center"/>
              <w:rPr>
                <w:b/>
                <w:sz w:val="20"/>
                <w:szCs w:val="20"/>
              </w:rPr>
            </w:pPr>
            <w:r w:rsidRPr="00A52482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A52482" w:rsidRDefault="00A52482" w:rsidP="00535D38">
      <w:pPr>
        <w:spacing w:after="240"/>
        <w:ind w:left="360"/>
        <w:jc w:val="both"/>
      </w:pPr>
    </w:p>
    <w:p w:rsidR="006B57E8" w:rsidRPr="00CF6B71" w:rsidRDefault="006B57E8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 xml:space="preserve">В </w:t>
      </w:r>
      <w:r w:rsidRPr="00CF6B71">
        <w:t>стать</w:t>
      </w:r>
      <w:r>
        <w:t>ях</w:t>
      </w:r>
      <w:r w:rsidRPr="00CF6B71">
        <w:t xml:space="preserve"> </w:t>
      </w:r>
      <w:r w:rsidR="0012120E">
        <w:t xml:space="preserve">26, </w:t>
      </w:r>
      <w:r w:rsidR="00756ADB">
        <w:t xml:space="preserve">34, 41, 43, 44, 57, </w:t>
      </w:r>
      <w:r w:rsidR="00FE467A">
        <w:t>67, 68</w:t>
      </w:r>
      <w:r w:rsidRPr="00CF6B71">
        <w:t xml:space="preserve"> </w:t>
      </w:r>
      <w:r>
        <w:t>слова</w:t>
      </w:r>
      <w:r w:rsidRPr="00CF6B71">
        <w:t xml:space="preserve"> «</w:t>
      </w:r>
      <w:r w:rsidR="0012120E" w:rsidRPr="00E83803">
        <w:t>СП 42.13330.2011</w:t>
      </w:r>
      <w:r w:rsidRPr="00CF6B71">
        <w:t xml:space="preserve">» </w:t>
      </w:r>
      <w:r w:rsidR="0012120E">
        <w:t>заменить словами «</w:t>
      </w:r>
      <w:r w:rsidR="0012120E" w:rsidRPr="00E83803">
        <w:t>СП 42.13330.2016»</w:t>
      </w:r>
      <w:r>
        <w:t>.</w:t>
      </w:r>
    </w:p>
    <w:p w:rsidR="0012120E" w:rsidRPr="00CF6B71" w:rsidRDefault="0012120E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 xml:space="preserve">В </w:t>
      </w:r>
      <w:r w:rsidRPr="00CF6B71">
        <w:t>стать</w:t>
      </w:r>
      <w:r>
        <w:t>е</w:t>
      </w:r>
      <w:r w:rsidRPr="00CF6B71">
        <w:t xml:space="preserve"> </w:t>
      </w:r>
      <w:r>
        <w:t>26</w:t>
      </w:r>
      <w:r w:rsidRPr="00CF6B71">
        <w:t xml:space="preserve"> </w:t>
      </w:r>
      <w:r>
        <w:t>слова</w:t>
      </w:r>
      <w:r w:rsidRPr="00CF6B71">
        <w:t xml:space="preserve"> «</w:t>
      </w:r>
      <w:r w:rsidRPr="0012120E">
        <w:t>СП 32.13330.2012 "Канализация. Наружные сети и сооружения", п. 4.20.</w:t>
      </w:r>
      <w:r w:rsidRPr="00CF6B71">
        <w:t>»</w:t>
      </w:r>
      <w:r>
        <w:t>, «Санитарно-защитные зоны от канализационных сооружений до границ зданий жилой застройки,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нормами, а случаи отступления от них должны согласовываться с органами санитарно-эпидемиологического надзора.», «Жилую застройку необходимо отделять от железных дорог санитарно-защитной зоной шириной не менее 100 м, считая от оси крайнего железнодорожного пути. При размещении железных дорог в выемке или при осуществлении специальных шумозащитных мероприятий, обеспечивающих требования СП 51.13330, ширина санитарно-защитной зоны может быть уменьшена, но не более чем на 50 м. Ширину санитарно-защитной зоны до границ садовых участков следует принимать не менее 50 м.»</w:t>
      </w:r>
      <w:r w:rsidRPr="00CF6B71">
        <w:t xml:space="preserve"> </w:t>
      </w:r>
      <w:r w:rsidRPr="00F73189">
        <w:t>признать утративш</w:t>
      </w:r>
      <w:r>
        <w:t>ими</w:t>
      </w:r>
      <w:r w:rsidRPr="00F73189">
        <w:t xml:space="preserve"> силу</w:t>
      </w:r>
      <w:r>
        <w:t xml:space="preserve">. </w:t>
      </w:r>
    </w:p>
    <w:p w:rsidR="00E83803" w:rsidRDefault="00E83803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 xml:space="preserve">В </w:t>
      </w:r>
      <w:r w:rsidRPr="00CF6B71">
        <w:t>стать</w:t>
      </w:r>
      <w:r>
        <w:t>е</w:t>
      </w:r>
      <w:r w:rsidRPr="00CF6B71">
        <w:t xml:space="preserve"> </w:t>
      </w:r>
      <w:r>
        <w:t>26 номер</w:t>
      </w:r>
      <w:r w:rsidRPr="00CF6B71">
        <w:t xml:space="preserve"> </w:t>
      </w:r>
      <w:r>
        <w:t>таблицы 13</w:t>
      </w:r>
      <w:r w:rsidRPr="00CF6B71">
        <w:t xml:space="preserve"> </w:t>
      </w:r>
      <w:r>
        <w:t>и ссылку на неё заменить номером «</w:t>
      </w:r>
      <w:r w:rsidRPr="00E83803">
        <w:t>12.3»</w:t>
      </w:r>
      <w:r>
        <w:t>.</w:t>
      </w:r>
    </w:p>
    <w:p w:rsidR="00E83803" w:rsidRPr="00CF6B71" w:rsidRDefault="00E83803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lastRenderedPageBreak/>
        <w:t xml:space="preserve">В </w:t>
      </w:r>
      <w:r w:rsidRPr="00CF6B71">
        <w:t>стать</w:t>
      </w:r>
      <w:r>
        <w:t>е</w:t>
      </w:r>
      <w:r w:rsidRPr="00CF6B71">
        <w:t xml:space="preserve"> </w:t>
      </w:r>
      <w:r>
        <w:t>31</w:t>
      </w:r>
      <w:r w:rsidRPr="00CF6B71">
        <w:t xml:space="preserve"> </w:t>
      </w:r>
      <w:r>
        <w:t>слова</w:t>
      </w:r>
      <w:r w:rsidRPr="00CF6B71">
        <w:t xml:space="preserve"> «</w:t>
      </w:r>
      <w:r w:rsidRPr="00E83803">
        <w:t>утверждённого постановлением Правительства РФ от 26 декабря 2014 года № 1521</w:t>
      </w:r>
      <w:r w:rsidRPr="00CF6B71">
        <w:t xml:space="preserve">» </w:t>
      </w:r>
      <w:r>
        <w:t>заменить словами «</w:t>
      </w:r>
      <w:r w:rsidRPr="00E83803">
        <w:t>утверждённого постановлением Правительства РФ от 4 июля 2020 г. № 985»</w:t>
      </w:r>
      <w:r>
        <w:t>.</w:t>
      </w:r>
    </w:p>
    <w:p w:rsidR="00E6549D" w:rsidRDefault="00E6549D" w:rsidP="00E6549D">
      <w:pPr>
        <w:numPr>
          <w:ilvl w:val="0"/>
          <w:numId w:val="1"/>
        </w:numPr>
        <w:spacing w:after="240"/>
        <w:ind w:left="0" w:firstLine="0"/>
        <w:jc w:val="both"/>
      </w:pPr>
      <w:r>
        <w:t>Головную строку т</w:t>
      </w:r>
      <w:r w:rsidRPr="006B624F">
        <w:t>аблиц</w:t>
      </w:r>
      <w:r>
        <w:t>ы</w:t>
      </w:r>
      <w:r w:rsidRPr="006B624F">
        <w:t xml:space="preserve"> </w:t>
      </w:r>
      <w:r>
        <w:t>«</w:t>
      </w:r>
      <w:r w:rsidRPr="006B624F">
        <w:t>4 СП 36.13330.2012</w:t>
      </w:r>
      <w:r>
        <w:t xml:space="preserve">» </w:t>
      </w:r>
      <w:r w:rsidRPr="00CF6B71">
        <w:t>стать</w:t>
      </w:r>
      <w:r>
        <w:t>и</w:t>
      </w:r>
      <w:r w:rsidRPr="00CF6B71">
        <w:t xml:space="preserve"> </w:t>
      </w:r>
      <w:r>
        <w:t>31</w:t>
      </w:r>
      <w:r w:rsidRPr="00CF6B71">
        <w:t xml:space="preserve"> </w:t>
      </w:r>
      <w:r w:rsidRPr="00F32E12">
        <w:t>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646"/>
        <w:gridCol w:w="724"/>
        <w:gridCol w:w="724"/>
        <w:gridCol w:w="725"/>
        <w:gridCol w:w="725"/>
        <w:gridCol w:w="725"/>
        <w:gridCol w:w="647"/>
        <w:gridCol w:w="725"/>
        <w:gridCol w:w="647"/>
        <w:gridCol w:w="725"/>
        <w:gridCol w:w="725"/>
        <w:gridCol w:w="725"/>
      </w:tblGrid>
      <w:tr w:rsidR="00E6549D" w:rsidRPr="00E6549D" w:rsidTr="00026CB1">
        <w:trPr>
          <w:trHeight w:val="202"/>
          <w:jc w:val="center"/>
        </w:trPr>
        <w:tc>
          <w:tcPr>
            <w:tcW w:w="1796" w:type="dxa"/>
            <w:vMerge w:val="restart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Объекты, здания и сооружения</w:t>
            </w:r>
          </w:p>
        </w:tc>
        <w:tc>
          <w:tcPr>
            <w:tcW w:w="7266" w:type="dxa"/>
            <w:gridSpan w:val="12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Минимальные расстояния, м, от оси</w:t>
            </w:r>
          </w:p>
        </w:tc>
      </w:tr>
      <w:tr w:rsidR="00E6549D" w:rsidRPr="00E6549D" w:rsidTr="00026CB1">
        <w:trPr>
          <w:jc w:val="center"/>
        </w:trPr>
        <w:tc>
          <w:tcPr>
            <w:tcW w:w="1796" w:type="dxa"/>
            <w:vMerge/>
          </w:tcPr>
          <w:p w:rsidR="00E6549D" w:rsidRPr="00E6549D" w:rsidRDefault="00E6549D" w:rsidP="00E65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4" w:type="dxa"/>
            <w:gridSpan w:val="8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газопроводов</w:t>
            </w:r>
          </w:p>
        </w:tc>
        <w:tc>
          <w:tcPr>
            <w:tcW w:w="0" w:type="auto"/>
            <w:gridSpan w:val="4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нефтепроводов и нефтепродуктопроводов</w:t>
            </w:r>
          </w:p>
        </w:tc>
      </w:tr>
      <w:tr w:rsidR="00E6549D" w:rsidRPr="00E6549D" w:rsidTr="00026CB1">
        <w:trPr>
          <w:jc w:val="center"/>
        </w:trPr>
        <w:tc>
          <w:tcPr>
            <w:tcW w:w="1796" w:type="dxa"/>
            <w:vMerge/>
          </w:tcPr>
          <w:p w:rsidR="00E6549D" w:rsidRPr="00E6549D" w:rsidRDefault="00E6549D" w:rsidP="00E65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6" w:type="dxa"/>
            <w:gridSpan w:val="12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класса</w:t>
            </w:r>
          </w:p>
        </w:tc>
      </w:tr>
      <w:tr w:rsidR="00E6549D" w:rsidRPr="00E6549D" w:rsidTr="00026CB1">
        <w:trPr>
          <w:jc w:val="center"/>
        </w:trPr>
        <w:tc>
          <w:tcPr>
            <w:tcW w:w="1796" w:type="dxa"/>
            <w:vMerge/>
          </w:tcPr>
          <w:p w:rsidR="00E6549D" w:rsidRPr="00E6549D" w:rsidRDefault="00E6549D" w:rsidP="00E65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  <w:gridSpan w:val="6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I</w:t>
            </w:r>
          </w:p>
        </w:tc>
      </w:tr>
      <w:tr w:rsidR="00E6549D" w:rsidRPr="00E6549D" w:rsidTr="00026CB1">
        <w:trPr>
          <w:jc w:val="center"/>
        </w:trPr>
        <w:tc>
          <w:tcPr>
            <w:tcW w:w="1796" w:type="dxa"/>
            <w:vMerge/>
          </w:tcPr>
          <w:p w:rsidR="00E6549D" w:rsidRPr="00E6549D" w:rsidRDefault="00E6549D" w:rsidP="00E65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6" w:type="dxa"/>
            <w:gridSpan w:val="12"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 xml:space="preserve">номинальным диаметром, </w:t>
            </w:r>
            <w:r w:rsidRPr="00E6549D">
              <w:rPr>
                <w:b/>
                <w:i/>
                <w:iCs/>
                <w:sz w:val="20"/>
                <w:szCs w:val="20"/>
              </w:rPr>
              <w:t>DN</w:t>
            </w:r>
          </w:p>
        </w:tc>
      </w:tr>
      <w:tr w:rsidR="00E6549D" w:rsidRPr="00E6549D" w:rsidTr="00026CB1">
        <w:trPr>
          <w:jc w:val="center"/>
        </w:trPr>
        <w:tc>
          <w:tcPr>
            <w:tcW w:w="1796" w:type="dxa"/>
            <w:vMerge/>
            <w:hideMark/>
          </w:tcPr>
          <w:p w:rsidR="00E6549D" w:rsidRPr="00E6549D" w:rsidRDefault="00E6549D" w:rsidP="00E65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300 до 600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600 до 800</w:t>
            </w:r>
          </w:p>
        </w:tc>
        <w:tc>
          <w:tcPr>
            <w:tcW w:w="621" w:type="dxa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800 до 1000</w:t>
            </w:r>
          </w:p>
        </w:tc>
        <w:tc>
          <w:tcPr>
            <w:tcW w:w="621" w:type="dxa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1000 до 1200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1200 до 1400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300 до 500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500 до 1000</w:t>
            </w:r>
          </w:p>
        </w:tc>
        <w:tc>
          <w:tcPr>
            <w:tcW w:w="0" w:type="auto"/>
            <w:hideMark/>
          </w:tcPr>
          <w:p w:rsidR="00E6549D" w:rsidRPr="00E6549D" w:rsidRDefault="00E6549D" w:rsidP="00E6549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549D">
              <w:rPr>
                <w:b/>
                <w:sz w:val="20"/>
                <w:szCs w:val="20"/>
              </w:rPr>
              <w:t>свыше 1000 до 1200</w:t>
            </w:r>
          </w:p>
        </w:tc>
      </w:tr>
    </w:tbl>
    <w:p w:rsidR="00E6549D" w:rsidRDefault="00E6549D" w:rsidP="00E6549D">
      <w:pPr>
        <w:spacing w:after="240"/>
        <w:jc w:val="both"/>
      </w:pPr>
    </w:p>
    <w:p w:rsidR="006B624F" w:rsidRDefault="006B624F" w:rsidP="00535D38">
      <w:pPr>
        <w:numPr>
          <w:ilvl w:val="0"/>
          <w:numId w:val="1"/>
        </w:numPr>
        <w:spacing w:after="240"/>
        <w:ind w:left="0" w:firstLine="0"/>
        <w:jc w:val="both"/>
      </w:pPr>
      <w:r w:rsidRPr="006B624F">
        <w:t>Примечания</w:t>
      </w:r>
      <w:r>
        <w:t xml:space="preserve"> </w:t>
      </w:r>
      <w:r w:rsidR="00122861">
        <w:t xml:space="preserve">1, 4, 9 </w:t>
      </w:r>
      <w:r>
        <w:t>к т</w:t>
      </w:r>
      <w:r w:rsidRPr="006B624F">
        <w:t>аблиц</w:t>
      </w:r>
      <w:r>
        <w:t>е</w:t>
      </w:r>
      <w:r w:rsidRPr="006B624F">
        <w:t xml:space="preserve"> </w:t>
      </w:r>
      <w:r w:rsidR="00122861">
        <w:t>«</w:t>
      </w:r>
      <w:r w:rsidRPr="006B624F">
        <w:t>4 СП 36.13330.2012</w:t>
      </w:r>
      <w:r w:rsidR="00122861">
        <w:t>»</w:t>
      </w:r>
      <w:r>
        <w:t xml:space="preserve"> </w:t>
      </w:r>
      <w:r w:rsidRPr="00CF6B71">
        <w:t>стать</w:t>
      </w:r>
      <w:r>
        <w:t>и</w:t>
      </w:r>
      <w:r w:rsidRPr="00CF6B71">
        <w:t xml:space="preserve"> </w:t>
      </w:r>
      <w:r>
        <w:t>31</w:t>
      </w:r>
      <w:r w:rsidRPr="00CF6B71">
        <w:t xml:space="preserve"> </w:t>
      </w:r>
      <w:r w:rsidR="00122861" w:rsidRPr="00F32E12">
        <w:t>изложить в новой редакции:</w:t>
      </w:r>
    </w:p>
    <w:p w:rsidR="00122861" w:rsidRDefault="00122861" w:rsidP="00535D38">
      <w:pPr>
        <w:spacing w:after="240"/>
        <w:jc w:val="both"/>
      </w:pPr>
      <w:r>
        <w:t>«1 Расстояния, указанные в таблице, следует принимать: для городов и других населенных пунктов - от границ населенных пунктов с учетом земель межселенных территорий, включенных в границы населенных пунктов, на основе утвержденных документов территориального планирования субъектов РФ и муниципальных образований; для отдельных промышленных предприятий, железнодорожных станций, аэродромов, морских и речных портов и пристаней, гидротехнических сооружений, складов горючих и легковоспламеняющихся материалов, артезианских скважин - от границ отведенных им территорий с учетом их развития; для железных дорог - от подошвы насыпи или бровки выемки со стороны трубопровода, но не менее 10 м от границы полосы отвода дороги; для автомобильных дорог - от подошвы насыпи земляного полотна; для всех мостов - от подошвы конусов; для отдельно стоящих зданий и строений - от ближайших выступающих их частей.</w:t>
      </w:r>
    </w:p>
    <w:p w:rsidR="00122861" w:rsidRDefault="00122861" w:rsidP="00535D38">
      <w:pPr>
        <w:spacing w:after="240"/>
        <w:jc w:val="both"/>
      </w:pPr>
      <w:r>
        <w:t>4 При соответствующем технико-экономическом обосновании и обеспечении эксплуатационной надежности и экологической безопасности допускается сокращение указанных в гр.3-9 настоящей таблицы (за исключением поз.5, 8, 10, 13-16) и в гр.2 (только для поз.1-6) расстояний при условии оснащения трубопровода средствами автоматизированного отключения при появлении утечек, а также не реже одного раза в два года проведения их диагностирования неразрушающими методами контроля.</w:t>
      </w:r>
    </w:p>
    <w:p w:rsidR="000C500A" w:rsidRDefault="00122861" w:rsidP="00535D38">
      <w:pPr>
        <w:spacing w:after="240"/>
        <w:jc w:val="both"/>
      </w:pPr>
      <w:r>
        <w:t>9 Указанные в поз.7 настоящей таблицы минимальные расстояния от подводных переходов нефтепроводов и нефтепродуктопроводов допускается уменьшать до 50% при условии строительства перехода методами ННБ, тоннелирования и микротоннелирования с заглублением трубопровода (или тоннеля) до верхней образующей не менее 6 м на всем протяжении руслового участка и не менее 3 м от линии предельного размыва русла (рассчитанной на срок службы перехода) или при укладке этих трубопроводов в защитном футляре (кожухе) из стальных труб.»</w:t>
      </w:r>
    </w:p>
    <w:p w:rsidR="000C500A" w:rsidRPr="00CF6B71" w:rsidRDefault="000C500A" w:rsidP="00535D38">
      <w:pPr>
        <w:spacing w:after="240"/>
        <w:jc w:val="both"/>
      </w:pPr>
    </w:p>
    <w:p w:rsidR="00756ADB" w:rsidRDefault="00756ADB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Части</w:t>
      </w:r>
      <w:r w:rsidRPr="006B624F">
        <w:t xml:space="preserve"> </w:t>
      </w:r>
      <w:r>
        <w:t>«</w:t>
      </w:r>
      <w:r w:rsidRPr="00756ADB">
        <w:t>Регламентирующий документ</w:t>
      </w:r>
      <w:r>
        <w:t>», «</w:t>
      </w:r>
      <w:r w:rsidRPr="00756ADB">
        <w:t>Режим использования территории</w:t>
      </w:r>
      <w:r>
        <w:t xml:space="preserve">» </w:t>
      </w:r>
      <w:r w:rsidRPr="00CF6B71">
        <w:t>стать</w:t>
      </w:r>
      <w:r>
        <w:t>и</w:t>
      </w:r>
      <w:r w:rsidRPr="00CF6B71">
        <w:t xml:space="preserve"> </w:t>
      </w:r>
      <w:r>
        <w:t>51</w:t>
      </w:r>
      <w:r w:rsidRPr="00CF6B71">
        <w:t xml:space="preserve"> </w:t>
      </w:r>
      <w:r w:rsidRPr="00F32E12">
        <w:t>изложить в новой редакции:</w:t>
      </w:r>
    </w:p>
    <w:p w:rsidR="00756ADB" w:rsidRPr="00756ADB" w:rsidRDefault="00756ADB" w:rsidP="00535D38">
      <w:pPr>
        <w:tabs>
          <w:tab w:val="left" w:pos="851"/>
        </w:tabs>
        <w:spacing w:before="120"/>
        <w:ind w:firstLine="567"/>
        <w:jc w:val="both"/>
        <w:rPr>
          <w:b/>
        </w:rPr>
      </w:pPr>
      <w:r>
        <w:lastRenderedPageBreak/>
        <w:t>«</w:t>
      </w:r>
      <w:r w:rsidRPr="00756ADB">
        <w:rPr>
          <w:b/>
        </w:rPr>
        <w:t>Регламентирующий документ.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  <w:rPr>
          <w:rFonts w:eastAsia="MS Mincho"/>
        </w:rPr>
      </w:pPr>
      <w:r w:rsidRPr="00756ADB">
        <w:rPr>
          <w:rFonts w:eastAsia="MS Mincho"/>
        </w:rPr>
        <w:t>«Водный кодекс Российской Федерации» от 03.06.2006г № 74-ФЗ</w:t>
      </w:r>
      <w:r w:rsidRPr="00756ADB">
        <w:t>, ст. 67.1</w:t>
      </w:r>
      <w:r w:rsidRPr="00756ADB">
        <w:rPr>
          <w:rFonts w:eastAsia="MS Mincho"/>
        </w:rPr>
        <w:t>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Положение о зонах затопления, подтопления (</w:t>
      </w:r>
      <w:r w:rsidRPr="00756ADB">
        <w:rPr>
          <w:bCs/>
        </w:rPr>
        <w:t xml:space="preserve">утверждено </w:t>
      </w:r>
      <w:r w:rsidRPr="00756ADB">
        <w:t>постановлением Правительства РФ от 18 апреля 2014 г. № 360).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rPr>
          <w:bCs/>
        </w:rPr>
        <w:t>СП 42.13330.2016 «СНиП 2.07.01-89* Градостроительство. Планировка и застройка городских и сельских поселений»</w:t>
      </w:r>
      <w:r w:rsidRPr="00756ADB">
        <w:t xml:space="preserve">, </w:t>
      </w:r>
      <w:r w:rsidRPr="00756ADB">
        <w:rPr>
          <w:spacing w:val="-6"/>
        </w:rPr>
        <w:t>п. 13.6</w:t>
      </w:r>
      <w:r w:rsidRPr="00756ADB">
        <w:t>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СП 58.13330 «СНиП 33-01-2003 Гидротехнические сооружения. Основные положения».</w:t>
      </w:r>
    </w:p>
    <w:p w:rsidR="00756ADB" w:rsidRPr="00756ADB" w:rsidRDefault="00756ADB" w:rsidP="00535D38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56ADB">
        <w:rPr>
          <w:b/>
        </w:rPr>
        <w:t>Режим использования территории.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2) использование сточных вод в целях регулирования плодородия почв;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4) осуществление авиационных мер по борьбе с вредными организмами.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кодексом,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756ADB" w:rsidRPr="00756ADB" w:rsidRDefault="00756ADB" w:rsidP="00535D38">
      <w:pPr>
        <w:tabs>
          <w:tab w:val="left" w:pos="851"/>
        </w:tabs>
        <w:ind w:firstLine="567"/>
        <w:jc w:val="both"/>
      </w:pPr>
      <w:r w:rsidRPr="00756ADB">
        <w:t>Собственник водного объекта обязан осуществлять меры по предотвращению негативного воздействия вод и ликвидации его последствий.</w:t>
      </w:r>
    </w:p>
    <w:p w:rsidR="006B57E8" w:rsidRDefault="00756ADB" w:rsidP="00535D38">
      <w:pPr>
        <w:tabs>
          <w:tab w:val="left" w:pos="851"/>
        </w:tabs>
        <w:spacing w:after="240"/>
        <w:ind w:firstLine="567"/>
        <w:jc w:val="both"/>
      </w:pPr>
      <w:r w:rsidRPr="00756ADB">
        <w:t>Территории поселений, расположенных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СП 58.13330.</w:t>
      </w:r>
      <w:r>
        <w:t>»</w:t>
      </w:r>
    </w:p>
    <w:p w:rsidR="000C500A" w:rsidRDefault="000C500A" w:rsidP="00535D38">
      <w:pPr>
        <w:tabs>
          <w:tab w:val="left" w:pos="851"/>
        </w:tabs>
        <w:spacing w:after="240"/>
        <w:ind w:firstLine="567"/>
        <w:jc w:val="both"/>
      </w:pPr>
    </w:p>
    <w:p w:rsidR="00756ADB" w:rsidRDefault="000C500A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В ч</w:t>
      </w:r>
      <w:r w:rsidR="00756ADB">
        <w:t>асти</w:t>
      </w:r>
      <w:r w:rsidR="00756ADB" w:rsidRPr="006B624F">
        <w:t xml:space="preserve"> </w:t>
      </w:r>
      <w:r w:rsidR="00756ADB">
        <w:t>«</w:t>
      </w:r>
      <w:r w:rsidR="00756ADB" w:rsidRPr="00756ADB">
        <w:t>Режим использования территории</w:t>
      </w:r>
      <w:r w:rsidR="00756ADB">
        <w:t xml:space="preserve">» </w:t>
      </w:r>
      <w:r w:rsidR="00756ADB" w:rsidRPr="00CF6B71">
        <w:t>стать</w:t>
      </w:r>
      <w:r w:rsidR="00756ADB">
        <w:t>и</w:t>
      </w:r>
      <w:r w:rsidR="00756ADB" w:rsidRPr="00CF6B71">
        <w:t xml:space="preserve"> </w:t>
      </w:r>
      <w:r w:rsidR="00756ADB">
        <w:t>5</w:t>
      </w:r>
      <w:r>
        <w:t>7</w:t>
      </w:r>
      <w:r w:rsidR="00756ADB" w:rsidRPr="00CF6B71">
        <w:t xml:space="preserve"> </w:t>
      </w:r>
      <w:r>
        <w:t>слова «</w:t>
      </w:r>
      <w:r w:rsidRPr="000C500A">
        <w:t>и водоохранных полос (зон)</w:t>
      </w:r>
      <w:r>
        <w:t xml:space="preserve">» </w:t>
      </w:r>
      <w:r w:rsidRPr="00F73189">
        <w:t>признать утративш</w:t>
      </w:r>
      <w:r>
        <w:t>ими</w:t>
      </w:r>
      <w:r w:rsidRPr="00F73189">
        <w:t xml:space="preserve"> силу</w:t>
      </w:r>
      <w:r>
        <w:t>.</w:t>
      </w:r>
    </w:p>
    <w:p w:rsidR="000C500A" w:rsidRDefault="000C500A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С</w:t>
      </w:r>
      <w:r w:rsidRPr="00CF6B71">
        <w:t>тать</w:t>
      </w:r>
      <w:r>
        <w:t>и</w:t>
      </w:r>
      <w:r w:rsidRPr="00CF6B71">
        <w:t xml:space="preserve"> </w:t>
      </w:r>
      <w:r>
        <w:t>58, 59</w:t>
      </w:r>
      <w:r w:rsidRPr="00CF6B71">
        <w:t xml:space="preserve"> </w:t>
      </w:r>
      <w:r w:rsidRPr="00F32E12">
        <w:t>изложить в новой редакции:</w:t>
      </w:r>
    </w:p>
    <w:p w:rsidR="000C500A" w:rsidRPr="000C500A" w:rsidRDefault="000C500A" w:rsidP="00535D38">
      <w:pPr>
        <w:keepNext/>
        <w:tabs>
          <w:tab w:val="left" w:pos="851"/>
        </w:tabs>
        <w:spacing w:before="120"/>
        <w:ind w:firstLine="709"/>
        <w:jc w:val="both"/>
        <w:outlineLvl w:val="2"/>
        <w:rPr>
          <w:b/>
          <w:bCs/>
        </w:rPr>
      </w:pPr>
      <w:r>
        <w:t>«</w:t>
      </w:r>
      <w:bookmarkStart w:id="9" w:name="_Toc531808816"/>
      <w:bookmarkStart w:id="10" w:name="_Toc45632362"/>
      <w:r w:rsidRPr="000C500A">
        <w:rPr>
          <w:b/>
          <w:bCs/>
        </w:rPr>
        <w:t>Статья 5</w:t>
      </w:r>
      <w:r>
        <w:rPr>
          <w:b/>
          <w:bCs/>
        </w:rPr>
        <w:t>8</w:t>
      </w:r>
      <w:r w:rsidRPr="000C500A">
        <w:rPr>
          <w:b/>
          <w:bCs/>
        </w:rPr>
        <w:t>. Лесопарковые зоны.</w:t>
      </w:r>
      <w:bookmarkEnd w:id="9"/>
      <w:bookmarkEnd w:id="10"/>
    </w:p>
    <w:p w:rsidR="000C500A" w:rsidRPr="000C500A" w:rsidRDefault="000C500A" w:rsidP="00535D38">
      <w:pPr>
        <w:spacing w:before="120"/>
        <w:ind w:firstLine="709"/>
        <w:jc w:val="both"/>
        <w:rPr>
          <w:b/>
        </w:rPr>
      </w:pPr>
      <w:r w:rsidRPr="000C500A">
        <w:rPr>
          <w:b/>
        </w:rPr>
        <w:t>Регламентирующий документ.</w:t>
      </w:r>
    </w:p>
    <w:p w:rsidR="000C500A" w:rsidRPr="000C500A" w:rsidRDefault="000C500A" w:rsidP="00535D38">
      <w:pPr>
        <w:ind w:firstLine="709"/>
        <w:jc w:val="both"/>
        <w:rPr>
          <w:rFonts w:eastAsia="MS Mincho"/>
        </w:rPr>
      </w:pPr>
      <w:r w:rsidRPr="000C500A">
        <w:rPr>
          <w:rFonts w:eastAsia="MS Mincho"/>
        </w:rPr>
        <w:t>"Лесной кодекс Российской Федерации" от 04.12.2006 № 200-ФЗ</w:t>
      </w:r>
      <w:r w:rsidRPr="000C500A">
        <w:t>, ст. 114</w:t>
      </w:r>
      <w:r w:rsidRPr="000C500A">
        <w:rPr>
          <w:rFonts w:eastAsia="MS Mincho"/>
        </w:rPr>
        <w:t>.</w:t>
      </w:r>
    </w:p>
    <w:p w:rsidR="000C500A" w:rsidRPr="000C500A" w:rsidRDefault="000C500A" w:rsidP="00535D38">
      <w:pPr>
        <w:ind w:firstLine="709"/>
        <w:jc w:val="both"/>
        <w:rPr>
          <w:rFonts w:eastAsia="MS Mincho"/>
        </w:rPr>
      </w:pPr>
      <w:r w:rsidRPr="000C500A">
        <w:rPr>
          <w:rFonts w:eastAsia="MS Mincho"/>
        </w:rPr>
        <w:t>Постановление Правительства РФ от 21 декабря 2019 г. № 1755 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зонах".</w:t>
      </w:r>
    </w:p>
    <w:p w:rsidR="000C500A" w:rsidRPr="000C500A" w:rsidRDefault="000C500A" w:rsidP="00535D38">
      <w:pPr>
        <w:spacing w:before="120"/>
        <w:ind w:firstLine="709"/>
        <w:jc w:val="both"/>
      </w:pPr>
      <w:r w:rsidRPr="000C500A">
        <w:rPr>
          <w:b/>
        </w:rPr>
        <w:t>Порядок установления и размеры.</w:t>
      </w:r>
    </w:p>
    <w:p w:rsidR="000C500A" w:rsidRPr="000C500A" w:rsidRDefault="000C500A" w:rsidP="00535D38">
      <w:pPr>
        <w:ind w:firstLine="709"/>
        <w:jc w:val="both"/>
      </w:pPr>
      <w:r w:rsidRPr="000C500A">
        <w:lastRenderedPageBreak/>
        <w:t>Леса, расположенные в лесопарковых зонах – леса, расположенные на землях лесного фонда и землях иных категорий, используемые в целях организации отдыха населения, сохранения санитарно-гигиенической, оздоровительной функций и эстетической ценности природных ландшафтов.</w:t>
      </w:r>
    </w:p>
    <w:p w:rsidR="000C500A" w:rsidRPr="000C500A" w:rsidRDefault="000C500A" w:rsidP="00535D38">
      <w:pPr>
        <w:ind w:firstLine="709"/>
        <w:jc w:val="both"/>
      </w:pPr>
      <w:r w:rsidRPr="000C500A">
        <w:t>Изменение границ земель, на которых расположены леса в лесопарковых зонах, и определение функциональных зон в лесах, расположенных в лесопарковых зонах, осуществляются на основании проектной документации, утвержденной</w:t>
      </w:r>
      <w:r w:rsidRPr="000C50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C500A">
        <w:t>органом государственной власти субъекта Российской Федерации, осуществляющим полномочия в области лесных отношений.</w:t>
      </w:r>
    </w:p>
    <w:p w:rsidR="000C500A" w:rsidRPr="000C500A" w:rsidRDefault="000C500A" w:rsidP="00535D38">
      <w:pPr>
        <w:spacing w:before="120"/>
        <w:ind w:firstLine="709"/>
        <w:jc w:val="both"/>
        <w:rPr>
          <w:b/>
        </w:rPr>
      </w:pPr>
      <w:r w:rsidRPr="000C500A">
        <w:rPr>
          <w:b/>
        </w:rPr>
        <w:t>Режим использования территории.</w:t>
      </w:r>
    </w:p>
    <w:p w:rsidR="000C500A" w:rsidRPr="000C500A" w:rsidRDefault="000C500A" w:rsidP="00535D38">
      <w:pPr>
        <w:ind w:firstLine="709"/>
        <w:jc w:val="both"/>
      </w:pPr>
      <w:r w:rsidRPr="000C500A">
        <w:t>В лесах, расположенных в лесопарковых зонах, запрещаются:</w:t>
      </w:r>
    </w:p>
    <w:p w:rsidR="000C500A" w:rsidRPr="000C500A" w:rsidRDefault="000C500A" w:rsidP="00535D38">
      <w:pPr>
        <w:ind w:firstLine="709"/>
        <w:jc w:val="both"/>
      </w:pPr>
      <w:r w:rsidRPr="000C500A">
        <w:t>1) использование токсичных химических препаратов;</w:t>
      </w:r>
    </w:p>
    <w:p w:rsidR="000C500A" w:rsidRPr="000C500A" w:rsidRDefault="000C500A" w:rsidP="00535D38">
      <w:pPr>
        <w:ind w:firstLine="709"/>
        <w:jc w:val="both"/>
      </w:pPr>
      <w:r w:rsidRPr="000C500A">
        <w:t>2) осуществление видов деятельности в сфере охотничьего хозяйства;</w:t>
      </w:r>
    </w:p>
    <w:p w:rsidR="000C500A" w:rsidRPr="000C500A" w:rsidRDefault="000C500A" w:rsidP="00535D38">
      <w:pPr>
        <w:ind w:firstLine="709"/>
        <w:jc w:val="both"/>
      </w:pPr>
      <w:r w:rsidRPr="000C500A">
        <w:t>3) ведение сельского хозяйства;</w:t>
      </w:r>
    </w:p>
    <w:p w:rsidR="000C500A" w:rsidRPr="000C500A" w:rsidRDefault="000C500A" w:rsidP="00535D38">
      <w:pPr>
        <w:ind w:firstLine="709"/>
        <w:jc w:val="both"/>
      </w:pPr>
      <w:r w:rsidRPr="000C500A">
        <w:t>4) разведка и добыча полезных ископаемых;</w:t>
      </w:r>
    </w:p>
    <w:p w:rsidR="000C500A" w:rsidRPr="000C500A" w:rsidRDefault="000C500A" w:rsidP="00535D38">
      <w:pPr>
        <w:ind w:firstLine="709"/>
        <w:jc w:val="both"/>
      </w:pPr>
      <w:r w:rsidRPr="000C500A">
        <w:t>5) строительство и эксплуатация объектов капитального строительства, за исключением гидротехнических сооружений.</w:t>
      </w:r>
    </w:p>
    <w:p w:rsidR="000C500A" w:rsidRPr="000C500A" w:rsidRDefault="000C500A" w:rsidP="00535D38">
      <w:pPr>
        <w:ind w:firstLine="709"/>
        <w:jc w:val="both"/>
      </w:pPr>
      <w:r w:rsidRPr="000C500A">
        <w:t>В целях охраны лесов, расположенных в лесопарковых зонах, допускается возведение ограждений на землях, на которых располагаются такие леса.</w:t>
      </w:r>
    </w:p>
    <w:p w:rsidR="000C500A" w:rsidRPr="000C500A" w:rsidRDefault="000C500A" w:rsidP="00535D38">
      <w:pPr>
        <w:ind w:firstLine="709"/>
        <w:jc w:val="both"/>
      </w:pPr>
    </w:p>
    <w:p w:rsidR="000C500A" w:rsidRPr="000C500A" w:rsidRDefault="000C500A" w:rsidP="00535D38">
      <w:pPr>
        <w:keepNext/>
        <w:tabs>
          <w:tab w:val="left" w:pos="851"/>
        </w:tabs>
        <w:spacing w:before="120"/>
        <w:ind w:firstLine="709"/>
        <w:jc w:val="both"/>
        <w:outlineLvl w:val="2"/>
        <w:rPr>
          <w:b/>
          <w:bCs/>
        </w:rPr>
      </w:pPr>
      <w:bookmarkStart w:id="11" w:name="_Toc531808817"/>
      <w:bookmarkStart w:id="12" w:name="_Toc45632363"/>
      <w:r w:rsidRPr="000C500A">
        <w:rPr>
          <w:b/>
          <w:bCs/>
        </w:rPr>
        <w:t xml:space="preserve">Статья </w:t>
      </w:r>
      <w:r>
        <w:rPr>
          <w:b/>
          <w:bCs/>
        </w:rPr>
        <w:t>59</w:t>
      </w:r>
      <w:r w:rsidRPr="000C500A">
        <w:rPr>
          <w:b/>
          <w:bCs/>
        </w:rPr>
        <w:t>. Зеленые зоны.</w:t>
      </w:r>
      <w:bookmarkEnd w:id="11"/>
      <w:bookmarkEnd w:id="12"/>
    </w:p>
    <w:p w:rsidR="000C500A" w:rsidRPr="000C500A" w:rsidRDefault="000C500A" w:rsidP="00535D38">
      <w:pPr>
        <w:spacing w:before="120"/>
        <w:ind w:firstLine="709"/>
        <w:jc w:val="both"/>
        <w:rPr>
          <w:b/>
        </w:rPr>
      </w:pPr>
      <w:r w:rsidRPr="000C500A">
        <w:rPr>
          <w:b/>
        </w:rPr>
        <w:t>Регламентирующий документ.</w:t>
      </w:r>
    </w:p>
    <w:p w:rsidR="000C500A" w:rsidRPr="000C500A" w:rsidRDefault="000C500A" w:rsidP="00535D38">
      <w:pPr>
        <w:ind w:firstLine="709"/>
        <w:jc w:val="both"/>
        <w:rPr>
          <w:rFonts w:eastAsia="MS Mincho"/>
        </w:rPr>
      </w:pPr>
      <w:r w:rsidRPr="000C500A">
        <w:rPr>
          <w:rFonts w:eastAsia="MS Mincho"/>
        </w:rPr>
        <w:t>"Лесной кодекс Российской Федерации" от 04.12.2006 № 200-ФЗ</w:t>
      </w:r>
      <w:r w:rsidRPr="000C500A">
        <w:t>, ст. 114</w:t>
      </w:r>
      <w:r w:rsidRPr="000C500A">
        <w:rPr>
          <w:rFonts w:eastAsia="MS Mincho"/>
        </w:rPr>
        <w:t>.</w:t>
      </w:r>
    </w:p>
    <w:p w:rsidR="000C500A" w:rsidRPr="000C500A" w:rsidRDefault="000C500A" w:rsidP="00535D38">
      <w:pPr>
        <w:ind w:firstLine="709"/>
        <w:jc w:val="both"/>
        <w:rPr>
          <w:rFonts w:eastAsia="MS Mincho"/>
        </w:rPr>
      </w:pPr>
      <w:r w:rsidRPr="000C500A">
        <w:rPr>
          <w:rFonts w:eastAsia="MS Mincho"/>
        </w:rPr>
        <w:t>Постановление Правительства РФ от 21 декабря 2019 г. № 1755 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зонах".</w:t>
      </w:r>
    </w:p>
    <w:p w:rsidR="000C500A" w:rsidRPr="000C500A" w:rsidRDefault="000C500A" w:rsidP="00535D38">
      <w:pPr>
        <w:spacing w:before="120"/>
        <w:ind w:firstLine="709"/>
        <w:jc w:val="both"/>
      </w:pPr>
      <w:r w:rsidRPr="000C500A">
        <w:rPr>
          <w:b/>
        </w:rPr>
        <w:t>Порядок установления и размеры.</w:t>
      </w:r>
    </w:p>
    <w:p w:rsidR="000C500A" w:rsidRPr="000C500A" w:rsidRDefault="000C500A" w:rsidP="00535D38">
      <w:pPr>
        <w:ind w:firstLine="709"/>
        <w:jc w:val="both"/>
      </w:pPr>
      <w:r w:rsidRPr="000C500A">
        <w:t>Леса, расположенные в зеленых зонах – 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восстановления окружающей среды.</w:t>
      </w:r>
    </w:p>
    <w:p w:rsidR="000C500A" w:rsidRPr="000C500A" w:rsidRDefault="000C500A" w:rsidP="00535D38">
      <w:pPr>
        <w:ind w:firstLine="709"/>
        <w:jc w:val="both"/>
      </w:pPr>
      <w:r w:rsidRPr="000C500A">
        <w:t>Изменение границ земель, на которых расположены леса в зеленых зонах, осуществляются на основании проектной документации, утвержденной</w:t>
      </w:r>
      <w:r w:rsidRPr="000C50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C500A">
        <w:t>органом государственной власти субъекта Российской Федерации, осуществляющим полномочия в области лесных отношений.</w:t>
      </w:r>
    </w:p>
    <w:p w:rsidR="000C500A" w:rsidRPr="000C500A" w:rsidRDefault="000C500A" w:rsidP="00535D38">
      <w:pPr>
        <w:spacing w:before="120"/>
        <w:ind w:firstLine="709"/>
        <w:jc w:val="both"/>
        <w:rPr>
          <w:b/>
        </w:rPr>
      </w:pPr>
      <w:r w:rsidRPr="000C500A">
        <w:rPr>
          <w:b/>
        </w:rPr>
        <w:t>Режим использования территории.</w:t>
      </w:r>
    </w:p>
    <w:p w:rsidR="000C500A" w:rsidRPr="000C500A" w:rsidRDefault="000C500A" w:rsidP="00535D38">
      <w:pPr>
        <w:ind w:firstLine="709"/>
        <w:jc w:val="both"/>
      </w:pPr>
      <w:r w:rsidRPr="000C500A">
        <w:t>В лесах, расположенных в зеленых зонах, запрещаются:</w:t>
      </w:r>
    </w:p>
    <w:p w:rsidR="000C500A" w:rsidRPr="000C500A" w:rsidRDefault="000C500A" w:rsidP="00535D38">
      <w:pPr>
        <w:ind w:firstLine="709"/>
        <w:jc w:val="both"/>
      </w:pPr>
      <w:r w:rsidRPr="000C500A">
        <w:t>1) использование токсичных химических препаратов;</w:t>
      </w:r>
    </w:p>
    <w:p w:rsidR="000C500A" w:rsidRPr="000C500A" w:rsidRDefault="000C500A" w:rsidP="00535D38">
      <w:pPr>
        <w:ind w:firstLine="709"/>
        <w:jc w:val="both"/>
      </w:pPr>
      <w:r w:rsidRPr="000C500A">
        <w:t>2) осуществление видов деятельности в сфере охотничьего хозяйства;</w:t>
      </w:r>
    </w:p>
    <w:p w:rsidR="000C500A" w:rsidRPr="000C500A" w:rsidRDefault="000C500A" w:rsidP="00535D38">
      <w:pPr>
        <w:ind w:firstLine="709"/>
        <w:jc w:val="both"/>
      </w:pPr>
      <w:r w:rsidRPr="000C500A">
        <w:t>3) разведка и добыча полезных ископаемых;</w:t>
      </w:r>
    </w:p>
    <w:p w:rsidR="000C500A" w:rsidRPr="000C500A" w:rsidRDefault="000C500A" w:rsidP="00535D38">
      <w:pPr>
        <w:ind w:firstLine="709"/>
        <w:jc w:val="both"/>
      </w:pPr>
      <w:r w:rsidRPr="000C500A">
        <w:t>4) ведение сельского хозяйства, за исключением сенокошения и пчеловодства, а также возведение изгородей в целях сенокошения и пчеловодства;</w:t>
      </w:r>
    </w:p>
    <w:p w:rsidR="000C500A" w:rsidRDefault="000C500A" w:rsidP="00535D38">
      <w:pPr>
        <w:spacing w:after="240"/>
        <w:ind w:firstLine="709"/>
        <w:jc w:val="both"/>
      </w:pPr>
      <w:r w:rsidRPr="000C500A">
        <w:t>5) строительство и эксплуатация объектов капитального строительства, за исключением гидротехнических сооружений, линий связи, линий электропередачи, подземных трубопроводов.</w:t>
      </w:r>
      <w:r>
        <w:t>»</w:t>
      </w:r>
    </w:p>
    <w:p w:rsidR="002127C7" w:rsidRDefault="002127C7" w:rsidP="00535D38">
      <w:pPr>
        <w:spacing w:after="240"/>
        <w:ind w:firstLine="709"/>
        <w:jc w:val="both"/>
      </w:pPr>
    </w:p>
    <w:p w:rsidR="002127C7" w:rsidRDefault="002127C7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lastRenderedPageBreak/>
        <w:t>В части</w:t>
      </w:r>
      <w:r w:rsidRPr="006B624F">
        <w:t xml:space="preserve"> </w:t>
      </w:r>
      <w:r>
        <w:t>«</w:t>
      </w:r>
      <w:r w:rsidRPr="00756ADB">
        <w:t>Режим использования территории</w:t>
      </w:r>
      <w:r>
        <w:t xml:space="preserve">» </w:t>
      </w:r>
      <w:r w:rsidRPr="00CF6B71">
        <w:t>стать</w:t>
      </w:r>
      <w:r>
        <w:t>и</w:t>
      </w:r>
      <w:r w:rsidRPr="00CF6B71">
        <w:t xml:space="preserve"> </w:t>
      </w:r>
      <w:r>
        <w:t>63</w:t>
      </w:r>
      <w:r w:rsidRPr="00CF6B71">
        <w:t xml:space="preserve"> </w:t>
      </w:r>
      <w:r>
        <w:t>слова</w:t>
      </w:r>
      <w:r w:rsidRPr="00CF6B71">
        <w:t xml:space="preserve"> «</w:t>
      </w:r>
      <w:r w:rsidRPr="002127C7">
        <w:t>СП 121.13330.2012 «Аэродромы», п. 10.5</w:t>
      </w:r>
      <w:r w:rsidRPr="00CF6B71">
        <w:t xml:space="preserve">» </w:t>
      </w:r>
      <w:r>
        <w:t>заменить словами «</w:t>
      </w:r>
      <w:r w:rsidRPr="002127C7">
        <w:t>СП 121.13330.2019 «Аэродромы», п. 10.9</w:t>
      </w:r>
      <w:r w:rsidRPr="00E83803">
        <w:t>»</w:t>
      </w:r>
      <w:r>
        <w:t>.</w:t>
      </w:r>
    </w:p>
    <w:p w:rsidR="00FE467A" w:rsidRDefault="00FE467A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С</w:t>
      </w:r>
      <w:r w:rsidRPr="00CF6B71">
        <w:t>тать</w:t>
      </w:r>
      <w:r>
        <w:t>ю</w:t>
      </w:r>
      <w:r w:rsidRPr="00CF6B71">
        <w:t xml:space="preserve"> </w:t>
      </w:r>
      <w:r>
        <w:t>65</w:t>
      </w:r>
      <w:r w:rsidRPr="00CF6B71">
        <w:t xml:space="preserve"> </w:t>
      </w:r>
      <w:r w:rsidRPr="00F32E12">
        <w:t>изложить в новой редакции:</w:t>
      </w:r>
    </w:p>
    <w:p w:rsidR="00FE467A" w:rsidRPr="00FE467A" w:rsidRDefault="00FE467A" w:rsidP="00535D38">
      <w:pPr>
        <w:keepNext/>
        <w:spacing w:before="120"/>
        <w:ind w:firstLine="567"/>
        <w:jc w:val="both"/>
        <w:outlineLvl w:val="2"/>
        <w:rPr>
          <w:b/>
          <w:bCs/>
          <w:szCs w:val="26"/>
        </w:rPr>
      </w:pPr>
      <w:r>
        <w:t>«</w:t>
      </w:r>
      <w:bookmarkStart w:id="13" w:name="_Toc330317455"/>
      <w:bookmarkStart w:id="14" w:name="_Toc336271791"/>
      <w:bookmarkStart w:id="15" w:name="_Toc336271811"/>
      <w:bookmarkStart w:id="16" w:name="_Toc398890961"/>
      <w:bookmarkStart w:id="17" w:name="_Toc414831584"/>
      <w:bookmarkStart w:id="18" w:name="_Toc531808823"/>
      <w:bookmarkStart w:id="19" w:name="_Toc45632369"/>
      <w:r w:rsidRPr="00FE467A">
        <w:rPr>
          <w:b/>
          <w:bCs/>
          <w:szCs w:val="26"/>
        </w:rPr>
        <w:t>Статья 6</w:t>
      </w:r>
      <w:r>
        <w:rPr>
          <w:b/>
          <w:bCs/>
          <w:szCs w:val="26"/>
        </w:rPr>
        <w:t>5</w:t>
      </w:r>
      <w:r w:rsidRPr="00FE467A">
        <w:rPr>
          <w:b/>
          <w:bCs/>
          <w:szCs w:val="26"/>
        </w:rPr>
        <w:t xml:space="preserve">. Минимальные расстояния от </w:t>
      </w:r>
      <w:bookmarkEnd w:id="13"/>
      <w:bookmarkEnd w:id="14"/>
      <w:bookmarkEnd w:id="15"/>
      <w:r w:rsidRPr="00FE467A">
        <w:rPr>
          <w:b/>
          <w:bCs/>
          <w:szCs w:val="26"/>
        </w:rPr>
        <w:t xml:space="preserve">магистральных дорог </w:t>
      </w:r>
      <w:r w:rsidRPr="00FE467A">
        <w:rPr>
          <w:b/>
          <w:bCs/>
          <w:szCs w:val="26"/>
          <w:lang w:val="x-none"/>
        </w:rPr>
        <w:t>до жилой застройки</w:t>
      </w:r>
      <w:r w:rsidRPr="00FE467A">
        <w:rPr>
          <w:b/>
          <w:bCs/>
          <w:szCs w:val="26"/>
        </w:rPr>
        <w:t>.</w:t>
      </w:r>
      <w:bookmarkEnd w:id="16"/>
      <w:bookmarkEnd w:id="17"/>
      <w:bookmarkEnd w:id="18"/>
      <w:bookmarkEnd w:id="19"/>
    </w:p>
    <w:p w:rsidR="00FE467A" w:rsidRPr="00FE467A" w:rsidRDefault="00FE467A" w:rsidP="00535D38">
      <w:pPr>
        <w:spacing w:before="120"/>
        <w:ind w:firstLine="567"/>
        <w:jc w:val="both"/>
        <w:rPr>
          <w:b/>
        </w:rPr>
      </w:pPr>
      <w:r w:rsidRPr="00FE467A">
        <w:rPr>
          <w:b/>
        </w:rPr>
        <w:t>Регламентирующий документ.</w:t>
      </w:r>
    </w:p>
    <w:p w:rsidR="00FE467A" w:rsidRPr="00FE467A" w:rsidRDefault="00FE467A" w:rsidP="00535D38">
      <w:pPr>
        <w:ind w:firstLine="567"/>
        <w:jc w:val="both"/>
      </w:pPr>
      <w:r w:rsidRPr="00FE467A">
        <w:rPr>
          <w:bCs/>
        </w:rPr>
        <w:t>СП 42.13330.2016 «СНиП 2.07.01-89* Градостроительство. Планировка и застройка городских и сельских поселений», п. 11.11</w:t>
      </w:r>
      <w:r w:rsidRPr="00FE467A">
        <w:t>.</w:t>
      </w:r>
    </w:p>
    <w:p w:rsidR="00FE467A" w:rsidRPr="00FE467A" w:rsidRDefault="00FE467A" w:rsidP="00535D38">
      <w:pPr>
        <w:spacing w:before="120"/>
        <w:ind w:firstLine="567"/>
        <w:jc w:val="both"/>
        <w:rPr>
          <w:b/>
        </w:rPr>
      </w:pPr>
      <w:r w:rsidRPr="00FE467A">
        <w:rPr>
          <w:b/>
        </w:rPr>
        <w:t xml:space="preserve">Порядок установления и размеры, режим использования территории. </w:t>
      </w:r>
    </w:p>
    <w:p w:rsidR="00FE467A" w:rsidRDefault="00FE467A" w:rsidP="00535D38">
      <w:pPr>
        <w:ind w:firstLine="567"/>
        <w:jc w:val="both"/>
      </w:pPr>
      <w:r w:rsidRPr="00FE467A">
        <w:t>Расстояние от края основной проезжей части магистральных дорог до линии регулирования жилой застройки (границы застройки, устанавливаемой при размещении зданий, строений и сооружений, с отступом от красной линии или границ земельного участка) следует принимать не менее 50 м, а при условии применения шумозащитных сооружений, обеспечивающих требования СП 51.13330 - не менее 25 м.</w:t>
      </w:r>
      <w:r>
        <w:t>»</w:t>
      </w:r>
    </w:p>
    <w:p w:rsidR="00FE467A" w:rsidRDefault="00FE467A" w:rsidP="00535D38">
      <w:pPr>
        <w:spacing w:after="240"/>
        <w:jc w:val="both"/>
      </w:pPr>
    </w:p>
    <w:p w:rsidR="00FE467A" w:rsidRDefault="00FE467A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С</w:t>
      </w:r>
      <w:r w:rsidRPr="00CF6B71">
        <w:t>тать</w:t>
      </w:r>
      <w:r>
        <w:t>ю</w:t>
      </w:r>
      <w:r w:rsidRPr="00CF6B71">
        <w:t xml:space="preserve"> </w:t>
      </w:r>
      <w:r>
        <w:t>66</w:t>
      </w:r>
      <w:r w:rsidRPr="00CF6B71">
        <w:t xml:space="preserve"> </w:t>
      </w:r>
      <w:r w:rsidRPr="00F73189">
        <w:t>признать утративш</w:t>
      </w:r>
      <w:r>
        <w:t>ей</w:t>
      </w:r>
      <w:r w:rsidRPr="00F73189">
        <w:t xml:space="preserve"> силу</w:t>
      </w:r>
      <w:r>
        <w:t>.</w:t>
      </w:r>
    </w:p>
    <w:p w:rsidR="00FE467A" w:rsidRDefault="00521826" w:rsidP="00535D38">
      <w:pPr>
        <w:numPr>
          <w:ilvl w:val="0"/>
          <w:numId w:val="1"/>
        </w:numPr>
        <w:spacing w:after="240"/>
        <w:ind w:left="0" w:firstLine="0"/>
        <w:jc w:val="both"/>
      </w:pPr>
      <w:r>
        <w:t>Ч</w:t>
      </w:r>
      <w:r w:rsidR="00FE467A">
        <w:t>асть «</w:t>
      </w:r>
      <w:r w:rsidR="00FE467A" w:rsidRPr="00FE467A">
        <w:t>Порядок установления и размеры, режим использования территории</w:t>
      </w:r>
      <w:r w:rsidR="00FE467A">
        <w:t>» статьи 69 изложить в следующей редакции:</w:t>
      </w:r>
    </w:p>
    <w:p w:rsidR="00FE467A" w:rsidRDefault="00FE467A" w:rsidP="00535D38">
      <w:pPr>
        <w:ind w:firstLine="567"/>
        <w:jc w:val="both"/>
      </w:pPr>
      <w:r>
        <w:t>«Противопожарные расстояния от зданий, сооружений на территориях городских населенных пунктов до границ лесных насаждений в лесах хвойных или смешанных пород должны составлять не менее 50 м, лиственных пород - не менее 30 м.</w:t>
      </w:r>
    </w:p>
    <w:p w:rsidR="00FE467A" w:rsidRDefault="00FE467A" w:rsidP="00535D38">
      <w:pPr>
        <w:spacing w:after="240"/>
        <w:ind w:firstLine="567"/>
        <w:jc w:val="both"/>
      </w:pPr>
      <w:r>
        <w:t>Примечание. Указанные расстояния определяются как наименьшее расстояние от наружных конструкций зданий, сооружений до границы лесного массива.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законодательством.</w:t>
      </w:r>
    </w:p>
    <w:p w:rsidR="00FE467A" w:rsidRDefault="00FE467A" w:rsidP="00535D38">
      <w:pPr>
        <w:ind w:firstLine="567"/>
        <w:jc w:val="both"/>
      </w:pPr>
      <w:r>
        <w:t>Расстояния от зданий и сооружений I-IV степеней огнестойкости, класса конструктивной пожарной опасности С0 и С1 до лесных насаждений хвойных (смешанных) пород допускается уменьшать до 30 м, при условии, что наружные поверхности обращенных к лесу стен, в том числе отделка, облицовка (при наличии) выполнены из материалов группы горючести не ниже Г1. В качестве наружного (водоизоляционного) слоя кровли в пределах 50 м от леса должны применяться материалы не ниже Г1 или РП1.</w:t>
      </w:r>
    </w:p>
    <w:p w:rsidR="00FE467A" w:rsidRDefault="00FE467A" w:rsidP="00535D38">
      <w:pPr>
        <w:ind w:firstLine="567"/>
        <w:jc w:val="both"/>
      </w:pPr>
      <w:r>
        <w:t>Противопожарные расстояния до границ лесных насаждений от зданий, сооружений городских населенных пунктов с индивидуальной малоэтажной жилой застройкой, от зданий и сооружений сельских населенных пунктов, а также от жилых домов на приусадебных, садовых земельных участках должны составлять не менее 30 м. Расстояния до леса от садовых домов и хозяйственных построек на садовых земельных участках должны составлять не менее 15 м.</w:t>
      </w:r>
    </w:p>
    <w:p w:rsidR="00FE467A" w:rsidRDefault="00FE467A" w:rsidP="00535D38">
      <w:pPr>
        <w:ind w:firstLine="567"/>
        <w:jc w:val="both"/>
      </w:pPr>
      <w:r>
        <w:t xml:space="preserve">При определении противопожарных расстояний до лесных насаждений от объектов производственного назначения, автозаправочных станций, энергообъектов и объектов нефтегазовой индустрии, объектов транспортной инфраструктуры и линейных объектов, особо опасных, технически сложных объектов, а также объектов, размещаемых в лесах, следует руководствоваться требованиями раздела 6 СП 4.13130.2013, ПУЭ "Правила устройства электроустановок", издания 6 и 7, Технического регламента о требованиях </w:t>
      </w:r>
      <w:r>
        <w:lastRenderedPageBreak/>
        <w:t>пожарной безопасности, СП 155.13130 и других нормативных документов, содержащих требования пожарной безопасности.</w:t>
      </w:r>
    </w:p>
    <w:p w:rsidR="00FE467A" w:rsidRDefault="00FE467A" w:rsidP="00535D38">
      <w:pPr>
        <w:ind w:firstLine="567"/>
        <w:jc w:val="both"/>
      </w:pPr>
      <w:r>
        <w:t>Противопожарные расстояния до лесных насаждений от некапитальных, временных сооружений (построек) должны составлять не менее 15 м.»</w:t>
      </w:r>
    </w:p>
    <w:p w:rsidR="00756ADB" w:rsidRDefault="00756ADB" w:rsidP="00535D38">
      <w:pPr>
        <w:tabs>
          <w:tab w:val="left" w:pos="851"/>
        </w:tabs>
        <w:ind w:firstLine="567"/>
        <w:jc w:val="both"/>
      </w:pPr>
    </w:p>
    <w:sectPr w:rsidR="007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036F57"/>
    <w:multiLevelType w:val="hybridMultilevel"/>
    <w:tmpl w:val="433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C"/>
    <w:rsid w:val="0002010E"/>
    <w:rsid w:val="00061B1B"/>
    <w:rsid w:val="000C500A"/>
    <w:rsid w:val="000C76DD"/>
    <w:rsid w:val="000F1297"/>
    <w:rsid w:val="00117C8E"/>
    <w:rsid w:val="0012120E"/>
    <w:rsid w:val="00122861"/>
    <w:rsid w:val="00131C6D"/>
    <w:rsid w:val="00187CD1"/>
    <w:rsid w:val="001C001E"/>
    <w:rsid w:val="002127C7"/>
    <w:rsid w:val="00221CFB"/>
    <w:rsid w:val="002410CC"/>
    <w:rsid w:val="002854B1"/>
    <w:rsid w:val="0030552F"/>
    <w:rsid w:val="00355F7B"/>
    <w:rsid w:val="003B6F75"/>
    <w:rsid w:val="003D3F9E"/>
    <w:rsid w:val="003D6B74"/>
    <w:rsid w:val="003E7A25"/>
    <w:rsid w:val="00447A13"/>
    <w:rsid w:val="00466005"/>
    <w:rsid w:val="004C3FCC"/>
    <w:rsid w:val="004E175E"/>
    <w:rsid w:val="0051491F"/>
    <w:rsid w:val="00521826"/>
    <w:rsid w:val="00535D38"/>
    <w:rsid w:val="005B75BB"/>
    <w:rsid w:val="0066079C"/>
    <w:rsid w:val="006643A7"/>
    <w:rsid w:val="006B57E8"/>
    <w:rsid w:val="006B624F"/>
    <w:rsid w:val="006B6973"/>
    <w:rsid w:val="00756ADB"/>
    <w:rsid w:val="00756E02"/>
    <w:rsid w:val="007C0C93"/>
    <w:rsid w:val="008122F7"/>
    <w:rsid w:val="008A29D8"/>
    <w:rsid w:val="009763BC"/>
    <w:rsid w:val="00A2018B"/>
    <w:rsid w:val="00A52482"/>
    <w:rsid w:val="00B116F5"/>
    <w:rsid w:val="00B1300E"/>
    <w:rsid w:val="00B2055E"/>
    <w:rsid w:val="00B40936"/>
    <w:rsid w:val="00B76DDF"/>
    <w:rsid w:val="00CE476D"/>
    <w:rsid w:val="00CE7945"/>
    <w:rsid w:val="00CF6B71"/>
    <w:rsid w:val="00D007FF"/>
    <w:rsid w:val="00D30C26"/>
    <w:rsid w:val="00D7760B"/>
    <w:rsid w:val="00E26D7C"/>
    <w:rsid w:val="00E6549D"/>
    <w:rsid w:val="00E83803"/>
    <w:rsid w:val="00EB2AB6"/>
    <w:rsid w:val="00EB707E"/>
    <w:rsid w:val="00ED25F3"/>
    <w:rsid w:val="00F73189"/>
    <w:rsid w:val="00FA69BE"/>
    <w:rsid w:val="00FC61DB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Ширяев</dc:creator>
  <cp:lastModifiedBy>Uzver</cp:lastModifiedBy>
  <cp:revision>2</cp:revision>
  <cp:lastPrinted>2020-10-30T06:32:00Z</cp:lastPrinted>
  <dcterms:created xsi:type="dcterms:W3CDTF">2020-10-30T06:32:00Z</dcterms:created>
  <dcterms:modified xsi:type="dcterms:W3CDTF">2020-10-30T06:32:00Z</dcterms:modified>
</cp:coreProperties>
</file>