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3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февраль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43 763 340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я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 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97 060 800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14,7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proofErr w:type="gramEnd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41CC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10 941 969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75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proofErr w:type="gramEnd"/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400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proofErr w:type="gramStart"/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10 071 544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189 277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3A2E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</w:t>
      </w:r>
      <w:proofErr w:type="gramStart"/>
      <w:r w:rsidR="00E530D0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полнение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-февраль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13,3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532,9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A7F79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0,6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ниже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293A2E" w:rsidRDefault="00293A2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17A41" w:rsidRPr="00317A41" w:rsidRDefault="00525617" w:rsidP="00317A4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</w:t>
      </w:r>
      <w:r w:rsidR="00317A41" w:rsidRPr="00317A41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317A41" w:rsidRPr="00317A41" w:rsidRDefault="00317A41" w:rsidP="0031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7A41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317A41" w:rsidRPr="00317A41" w:rsidRDefault="00317A41" w:rsidP="00317A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17A41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01.03.2021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134"/>
        <w:gridCol w:w="850"/>
        <w:gridCol w:w="851"/>
      </w:tblGrid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317A41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317A41" w:rsidRPr="00317A41" w:rsidRDefault="00317A41" w:rsidP="00317A41">
            <w:pPr>
              <w:spacing w:after="0" w:line="256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17A41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317A41" w:rsidRPr="00317A41" w:rsidTr="00317A41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86 277 500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10 941 969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+ 45,2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82 590 800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10 519 290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+ 64,2</w:t>
            </w:r>
          </w:p>
        </w:tc>
      </w:tr>
      <w:tr w:rsidR="00317A41" w:rsidRPr="00317A41" w:rsidTr="00317A41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77 901 000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9 592 598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+ 74,0</w:t>
            </w:r>
          </w:p>
        </w:tc>
      </w:tr>
      <w:tr w:rsidR="00317A41" w:rsidRPr="00317A41" w:rsidTr="00317A41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1 270 000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97 985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+ 15,6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2 364 800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711 982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- 3,8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171 000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19 478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+ 218,4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659 000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78 370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+ 143,6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18 877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- 40,0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422 679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- 62,5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2 328 400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208 181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- 46,1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1 249 400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163 516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- 28,1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- 74,1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35 580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+ 318,6</w:t>
            </w:r>
          </w:p>
        </w:tc>
      </w:tr>
      <w:tr w:rsidR="00317A41" w:rsidRPr="00317A41" w:rsidTr="00317A41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13 785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sz w:val="18"/>
                <w:szCs w:val="18"/>
              </w:rPr>
              <w:t>- 97,2</w:t>
            </w:r>
          </w:p>
        </w:tc>
      </w:tr>
      <w:tr w:rsidR="00317A41" w:rsidRPr="00317A41" w:rsidTr="00317A4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210 783 300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32 821 371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+ 113,4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210 783 300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35 660 821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+100,6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152 398 000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25 400 000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+219,1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68 808 000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11 468 000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000 2 02 15002 00 0000 150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0"/>
              </w:rPr>
              <w:t>83 590 000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0"/>
              </w:rPr>
              <w:t>13 932 000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17A41" w:rsidRPr="00317A41" w:rsidTr="00317A41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51 794 700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10 071 544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+14,1</w:t>
            </w:r>
          </w:p>
        </w:tc>
      </w:tr>
      <w:tr w:rsidR="00317A41" w:rsidRPr="00317A41" w:rsidTr="00317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317A41" w:rsidRPr="00317A41" w:rsidTr="00317A41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10 378 100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3 930 929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+58,0</w:t>
            </w:r>
          </w:p>
        </w:tc>
      </w:tr>
      <w:tr w:rsidR="00317A41" w:rsidRPr="00317A41" w:rsidTr="00317A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305 600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45 697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+ 19,2</w:t>
            </w:r>
          </w:p>
        </w:tc>
      </w:tr>
      <w:tr w:rsidR="00317A41" w:rsidRPr="00317A41" w:rsidTr="00317A41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968 500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63 918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+ 3,0</w:t>
            </w:r>
          </w:p>
        </w:tc>
      </w:tr>
      <w:tr w:rsidR="00317A41" w:rsidRPr="00317A41" w:rsidTr="00317A41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40 052 000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6 031 000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-3,3</w:t>
            </w:r>
          </w:p>
        </w:tc>
      </w:tr>
      <w:tr w:rsidR="00317A41" w:rsidRPr="00317A41" w:rsidTr="00317A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3 961 900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189 277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1 524 600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189 277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2 437 300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17A41" w:rsidRPr="00317A41" w:rsidTr="00317A4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- 157,2</w:t>
            </w:r>
          </w:p>
        </w:tc>
      </w:tr>
      <w:tr w:rsidR="00317A41" w:rsidRPr="00317A41" w:rsidTr="00317A4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numPr>
                <w:ilvl w:val="0"/>
                <w:numId w:val="3"/>
              </w:num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41" w:rsidRPr="00317A41" w:rsidRDefault="00317A41" w:rsidP="00317A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297 060 800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43 763 340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41" w:rsidRPr="00317A41" w:rsidRDefault="00317A41" w:rsidP="00317A4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7A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+ 91,0</w:t>
            </w:r>
          </w:p>
        </w:tc>
      </w:tr>
    </w:tbl>
    <w:p w:rsidR="00317A41" w:rsidRPr="00317A41" w:rsidRDefault="00317A41" w:rsidP="00317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317A41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НАЛОГИ НА ДОХОДЫ ФИЗИЧЕСКИХ ЛИЦ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(12,3%) – неисполнение плановых показателей по данному налогу связано с неуплатой текущих платежей. 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>(7,7%) –неисполнение плановых показателей связано с тем, что в феврале 2021 года не было ни одного поступления доходов от уплаты акцизов на дизельное топливо, моторные масла, автомобильный бензин.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(30,1%) – перевыполнение плановых показателей обусловлено тем, что поступили платежи по УСН и ЕНВД за 2020 год.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НАЛОГИ НА ИМУЩЕСТВО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(11,4%) – неисполнение плановых показателей связано с тем, что срок уплаты налога на имущество до 01 декабря 2021 года. 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ЗЕМЕЛЬНЫЙ НАЛО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 (11,9%) – неисполнение плановых показателей связано с тем, что срок уплаты земельного налога до 01 декабря 2021 года. 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>(8,4%)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(8,9%)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>(0,7%) –</w:t>
      </w: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(13,1%) – плановые показатели по данному доходу выполнены. 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(3,3%) – неисполнение плановых показателей связано с отсутствием обращения граждан о предоставлении в собственность за плату земельных участков.</w:t>
      </w: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</w:t>
      </w:r>
    </w:p>
    <w:p w:rsidR="00317A41" w:rsidRPr="00317A41" w:rsidRDefault="00317A41" w:rsidP="00317A4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17A41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317A41">
        <w:rPr>
          <w:rFonts w:ascii="Liberation Serif" w:eastAsia="Times New Roman" w:hAnsi="Liberation Serif" w:cs="Times New Roman"/>
          <w:sz w:val="20"/>
          <w:szCs w:val="20"/>
          <w:lang w:eastAsia="ru-RU"/>
        </w:rPr>
        <w:t>(115,1%)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317A41" w:rsidRPr="00317A41" w:rsidRDefault="00317A41" w:rsidP="00317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7A4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821404" w:rsidRPr="00BB685C" w:rsidRDefault="008343F7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C41EDD">
        <w:rPr>
          <w:rFonts w:ascii="Liberation Serif" w:hAnsi="Liberation Serif" w:cs="Times New Roman"/>
          <w:b/>
          <w:sz w:val="20"/>
          <w:szCs w:val="20"/>
        </w:rPr>
        <w:t>Р</w:t>
      </w:r>
      <w:r w:rsidR="00B1487A" w:rsidRPr="00C41EDD">
        <w:rPr>
          <w:rFonts w:ascii="Liberation Serif" w:hAnsi="Liberation Serif" w:cs="Times New Roman"/>
          <w:b/>
          <w:sz w:val="20"/>
          <w:szCs w:val="20"/>
        </w:rPr>
        <w:t>АСХОДЫ</w:t>
      </w:r>
    </w:p>
    <w:p w:rsidR="00C41EDD" w:rsidRPr="00C41EDD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Cs w:val="0"/>
        </w:rPr>
      </w:pPr>
    </w:p>
    <w:tbl>
      <w:tblPr>
        <w:tblW w:w="14632" w:type="dxa"/>
        <w:tblInd w:w="-284" w:type="dxa"/>
        <w:tblLook w:val="04A0" w:firstRow="1" w:lastRow="0" w:firstColumn="1" w:lastColumn="0" w:noHBand="0" w:noVBand="1"/>
      </w:tblPr>
      <w:tblGrid>
        <w:gridCol w:w="284"/>
        <w:gridCol w:w="9781"/>
        <w:gridCol w:w="992"/>
        <w:gridCol w:w="903"/>
        <w:gridCol w:w="1048"/>
        <w:gridCol w:w="1624"/>
      </w:tblGrid>
      <w:tr w:rsidR="00C41EDD" w:rsidRPr="00C41EDD" w:rsidTr="00D442EC">
        <w:trPr>
          <w:gridBefore w:val="1"/>
          <w:gridAfter w:val="1"/>
          <w:wBefore w:w="284" w:type="dxa"/>
          <w:wAfter w:w="1624" w:type="dxa"/>
          <w:trHeight w:val="319"/>
        </w:trPr>
        <w:tc>
          <w:tcPr>
            <w:tcW w:w="1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D442EC" w:rsidRDefault="00C41EDD" w:rsidP="005458C6">
            <w:pPr>
              <w:spacing w:after="0" w:line="240" w:lineRule="auto"/>
              <w:ind w:right="217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41EDD">
              <w:rPr>
                <w:rFonts w:ascii="Liberation Serif" w:hAnsi="Liberation Serif"/>
                <w:i/>
                <w:sz w:val="20"/>
                <w:szCs w:val="20"/>
              </w:rPr>
              <w:tab/>
            </w:r>
            <w:r w:rsidRPr="00D442EC">
              <w:rPr>
                <w:rFonts w:ascii="Liberation Serif" w:hAnsi="Liberation Serif"/>
                <w:sz w:val="24"/>
                <w:szCs w:val="24"/>
              </w:rPr>
              <w:t>Бюджет Гаринского городского округа по расходам по состоянию на 01.0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3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.2021 года исполнен в размере 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26 9814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>,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5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  <w:r w:rsidRPr="00D442E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>или к годовому назначению (</w:t>
            </w:r>
            <w:proofErr w:type="gramStart"/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307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миллиона</w:t>
            </w:r>
            <w:proofErr w:type="gramEnd"/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541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тысяч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 390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рублей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 73к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) выполнение составило 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4,6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% , что ниже установленного норматива  (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13,3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 % ) на 4,36 %  в сумме 13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>921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>,</w:t>
            </w:r>
            <w:r w:rsidR="005458C6" w:rsidRPr="00D442EC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  <w:r w:rsidRPr="00D442EC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5458C6" w:rsidRPr="00D442EC" w:rsidRDefault="005458C6" w:rsidP="00C41E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2508" w:type="dxa"/>
              <w:tblLook w:val="04A0" w:firstRow="1" w:lastRow="0" w:firstColumn="1" w:lastColumn="0" w:noHBand="0" w:noVBand="1"/>
            </w:tblPr>
            <w:tblGrid>
              <w:gridCol w:w="3578"/>
              <w:gridCol w:w="874"/>
              <w:gridCol w:w="1607"/>
              <w:gridCol w:w="1535"/>
              <w:gridCol w:w="1651"/>
              <w:gridCol w:w="1352"/>
              <w:gridCol w:w="1911"/>
            </w:tblGrid>
            <w:tr w:rsidR="005458C6" w:rsidRPr="005458C6" w:rsidTr="00CF696D">
              <w:trPr>
                <w:trHeight w:val="319"/>
              </w:trPr>
              <w:tc>
                <w:tcPr>
                  <w:tcW w:w="10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58C6" w:rsidRPr="005458C6" w:rsidTr="00CF696D">
              <w:trPr>
                <w:trHeight w:val="315"/>
              </w:trPr>
              <w:tc>
                <w:tcPr>
                  <w:tcW w:w="10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01.01.2021г. по 28.02.2021г.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58C6" w:rsidRPr="005458C6" w:rsidTr="00CF696D">
              <w:trPr>
                <w:trHeight w:val="255"/>
              </w:trPr>
              <w:tc>
                <w:tcPr>
                  <w:tcW w:w="125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5458C6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458C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765"/>
              </w:trPr>
              <w:tc>
                <w:tcPr>
                  <w:tcW w:w="3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Разд.</w:t>
                  </w:r>
                </w:p>
              </w:tc>
              <w:tc>
                <w:tcPr>
                  <w:tcW w:w="16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450"/>
              </w:trPr>
              <w:tc>
                <w:tcPr>
                  <w:tcW w:w="3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1 550 281,00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282 016,37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1 268 264,63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18,19%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102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2 899 788,00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415 533,27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2 484 254,73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14,33%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1275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Функционирование Правительства Российской </w:t>
                  </w:r>
                  <w:proofErr w:type="gramStart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Федерации,  высших</w:t>
                  </w:r>
                  <w:proofErr w:type="gramEnd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20 832 972,00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2 914 541,44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17 918 430,56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13,99%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102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8 558 516,00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1 630 784,86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6 927 731,14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19,05%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8 480 000,00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8 480 000,00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9 194 911,67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1 037 083,79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8 157 827,88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11,28%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305 600,00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45 696,64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259 903,36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14,95%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</w:t>
                  </w:r>
                  <w:proofErr w:type="gramStart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Защита  населения</w:t>
                  </w:r>
                  <w:proofErr w:type="gramEnd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 территории от чрезвычайных ситуаций  природного и техногенного </w:t>
                  </w:r>
                  <w:proofErr w:type="spellStart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характера,гражданская</w:t>
                  </w:r>
                  <w:proofErr w:type="spellEnd"/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7 345 675,00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1 094 728,55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6 250 946,45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14,90%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1 659 687,88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1 659 687,88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0405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0408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6 250 000,00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249 220,42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6 000 779,58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3,99%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2 544 000,00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2 544 000,00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174 000,00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174 000,00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701 700,00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701 700,00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4 300 000,00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4 300 000,00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4 883 800,00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4 883 800,00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60 027 000,00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60 027 000,00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25 001 982,50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3 985 400,00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21 016 582,50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15,94%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61 484 421,60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5 234 293,30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56 250 128,30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8,51%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19 080 585,88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1 478 486,93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17 602 098,95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7,75%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2 774 200,00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2 774 200,00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11 392 894,00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1 687 683,85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9 705 210,15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14,81%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30 493 701,00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4 377 483,63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26 116 217,37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14,36%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5 012 963,00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835 493,70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4 177 469,30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16,67%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10 266 086,20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1 494 382,18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8 771 704,02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14,56%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92 985,00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92 985,00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1 136 940,00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131 514,32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1 005 425,68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11,57%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46 300,00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253 700,00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15,43%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1204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40 909,09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409 090,91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9,09%</w:t>
                  </w:r>
                </w:p>
              </w:tc>
            </w:tr>
            <w:tr w:rsidR="005458C6" w:rsidRPr="005458C6" w:rsidTr="00CF696D">
              <w:trPr>
                <w:gridAfter w:val="1"/>
                <w:wAfter w:w="1911" w:type="dxa"/>
                <w:trHeight w:val="510"/>
              </w:trPr>
              <w:tc>
                <w:tcPr>
                  <w:tcW w:w="35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458C6" w:rsidRPr="0058167D" w:rsidRDefault="005458C6" w:rsidP="005458C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458C6" w:rsidRPr="0058167D" w:rsidRDefault="005458C6" w:rsidP="005458C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307 541 390,73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26 981 552,34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280 559 838,39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5458C6" w:rsidRPr="0058167D" w:rsidRDefault="005458C6" w:rsidP="005458C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167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8,77%</w:t>
                  </w:r>
                </w:p>
              </w:tc>
            </w:tr>
          </w:tbl>
          <w:p w:rsidR="00C41EDD" w:rsidRPr="00C41EDD" w:rsidRDefault="00C41EDD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8C6" w:rsidTr="00D442EC">
        <w:trPr>
          <w:gridBefore w:val="1"/>
          <w:wBefore w:w="284" w:type="dxa"/>
          <w:trHeight w:val="315"/>
        </w:trPr>
        <w:tc>
          <w:tcPr>
            <w:tcW w:w="1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8C6" w:rsidRDefault="005458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C6" w:rsidRDefault="005458C6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E63F0F" w:rsidRPr="00BB685C" w:rsidTr="00D442EC">
        <w:trPr>
          <w:gridBefore w:val="1"/>
          <w:gridAfter w:val="3"/>
          <w:wBefore w:w="284" w:type="dxa"/>
          <w:wAfter w:w="3575" w:type="dxa"/>
          <w:trHeight w:val="3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747CEB" w:rsidRDefault="00D442EC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E63F0F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сполнение бюджета</w:t>
            </w:r>
            <w:r w:rsidR="006758B3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F0F" w:rsidRPr="00BB685C" w:rsidTr="00D442EC">
        <w:trPr>
          <w:gridBefore w:val="1"/>
          <w:gridAfter w:val="3"/>
          <w:wBefore w:w="284" w:type="dxa"/>
          <w:wAfter w:w="3575" w:type="dxa"/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747CEB" w:rsidRDefault="00E63F0F" w:rsidP="00CF696D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</w:t>
            </w:r>
            <w:r w:rsidR="00346880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г. по </w:t>
            </w:r>
            <w:r w:rsidR="00CF696D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46880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F696D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6880"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747CEB">
              <w:rPr>
                <w:rFonts w:ascii="Liberation Serif" w:eastAsia="Times New Roman" w:hAnsi="Liberation Serif" w:cs="Arial CYR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F0F" w:rsidRPr="00BB685C" w:rsidTr="00D442EC">
        <w:trPr>
          <w:gridBefore w:val="1"/>
          <w:gridAfter w:val="3"/>
          <w:wBefore w:w="284" w:type="dxa"/>
          <w:wAfter w:w="3575" w:type="dxa"/>
          <w:trHeight w:val="25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lastRenderedPageBreak/>
              <w:t>Единица измерения: руб.</w:t>
            </w:r>
          </w:p>
          <w:p w:rsidR="00956AF1" w:rsidRPr="00BB685C" w:rsidRDefault="00956AF1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10500" w:type="dxa"/>
              <w:tblLook w:val="04A0" w:firstRow="1" w:lastRow="0" w:firstColumn="1" w:lastColumn="0" w:noHBand="0" w:noVBand="1"/>
            </w:tblPr>
            <w:tblGrid>
              <w:gridCol w:w="4140"/>
              <w:gridCol w:w="1900"/>
              <w:gridCol w:w="1560"/>
              <w:gridCol w:w="1660"/>
              <w:gridCol w:w="1240"/>
            </w:tblGrid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CF696D" w:rsidRPr="00CF696D" w:rsidTr="00CF696D">
              <w:trPr>
                <w:trHeight w:val="450"/>
              </w:trPr>
              <w:tc>
                <w:tcPr>
                  <w:tcW w:w="4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696D" w:rsidRPr="00CF696D" w:rsidTr="00CF696D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45 742 720,20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4 241 953,36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41 500 766,84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9,27%</w:t>
                  </w:r>
                </w:p>
              </w:tc>
            </w:tr>
            <w:tr w:rsidR="00CF696D" w:rsidRPr="00CF696D" w:rsidTr="00CF696D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37 262 720,20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4 241 953,36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33 020 766,84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11,38%</w:t>
                  </w:r>
                </w:p>
              </w:tc>
            </w:tr>
            <w:tr w:rsidR="00CF696D" w:rsidRPr="00CF696D" w:rsidTr="00CF696D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8 480 000,00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CF696D" w:rsidRPr="00CF696D" w:rsidTr="00CF696D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3 363 457,04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492 811,49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2 870 645,55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14,65%</w:t>
                  </w:r>
                </w:p>
              </w:tc>
            </w:tr>
            <w:tr w:rsidR="00CF696D" w:rsidRPr="00CF696D" w:rsidTr="00CF696D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1 789 050,00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254 436,10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1 534 613,90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14,22%</w:t>
                  </w:r>
                </w:p>
              </w:tc>
            </w:tr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Андрюшинская</w:t>
                  </w:r>
                  <w:proofErr w:type="spellEnd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12 191 917,00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1 018 892,07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11 173 024,93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8,36%</w:t>
                  </w:r>
                </w:p>
              </w:tc>
            </w:tr>
            <w:tr w:rsidR="00CF696D" w:rsidRPr="00CF696D" w:rsidTr="00CF696D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90 232 499,55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2 620 879,39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87 611 620,16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2,90%</w:t>
                  </w:r>
                </w:p>
              </w:tc>
            </w:tr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Гаринская</w:t>
                  </w:r>
                  <w:proofErr w:type="spellEnd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51 752 189,60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4 215 401,23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47 536 788,37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8,15%</w:t>
                  </w:r>
                </w:p>
              </w:tc>
            </w:tr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</w:t>
                  </w:r>
                  <w:proofErr w:type="gramStart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учреждение  "</w:t>
                  </w:r>
                  <w:proofErr w:type="gramEnd"/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Единая дежурно-диспетчерская служба Гаринского городского округа"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7 195 675,00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1 094 728,55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6 100 946,45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15,21%</w:t>
                  </w:r>
                </w:p>
              </w:tc>
            </w:tr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36 785 608,50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5 736 372,35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31 049 236,15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15,59%</w:t>
                  </w:r>
                </w:p>
              </w:tc>
            </w:tr>
            <w:tr w:rsidR="00CF696D" w:rsidRPr="00CF696D" w:rsidTr="00CF696D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19 532 385,88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1 478 486,93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18 053 898,95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7,57%</w:t>
                  </w:r>
                </w:p>
              </w:tc>
            </w:tr>
            <w:tr w:rsidR="00CF696D" w:rsidRPr="00CF696D" w:rsidTr="00CF696D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30 751 701,00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4 378 788,63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26 372 912,37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14,24%</w:t>
                  </w:r>
                </w:p>
              </w:tc>
            </w:tr>
            <w:tr w:rsidR="00CF696D" w:rsidRPr="00CF696D" w:rsidTr="00CF696D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8 204 186,96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1 448 802,24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6 755 384,72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17,66%</w:t>
                  </w:r>
                </w:p>
              </w:tc>
            </w:tr>
            <w:tr w:rsidR="00CF696D" w:rsidRPr="00CF696D" w:rsidTr="00CF696D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307 541 390,73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26 981 552,34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280 559 838,39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CF696D" w:rsidRPr="00CF696D" w:rsidRDefault="00CF696D" w:rsidP="00CF696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F696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8,77%</w:t>
                  </w:r>
                </w:p>
              </w:tc>
            </w:tr>
          </w:tbl>
          <w:p w:rsidR="005458C6" w:rsidRDefault="005458C6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  <w:p w:rsidR="005458C6" w:rsidRPr="00BB685C" w:rsidRDefault="005458C6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034" w:rsidRPr="00BB685C" w:rsidTr="00D442EC">
        <w:trPr>
          <w:gridAfter w:val="2"/>
          <w:wAfter w:w="2672" w:type="dxa"/>
          <w:trHeight w:val="25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</w:tbl>
    <w:p w:rsidR="00A66965" w:rsidRDefault="00A66965">
      <w:pPr>
        <w:rPr>
          <w:rFonts w:ascii="Liberation Serif" w:hAnsi="Liberation Serif"/>
          <w:sz w:val="16"/>
          <w:szCs w:val="16"/>
        </w:rPr>
      </w:pPr>
      <w:r w:rsidRPr="00BB685C">
        <w:rPr>
          <w:rFonts w:ascii="Liberation Serif" w:hAnsi="Liberation Serif"/>
          <w:sz w:val="16"/>
          <w:szCs w:val="16"/>
        </w:rPr>
        <w:t xml:space="preserve">        </w:t>
      </w:r>
      <w:r w:rsidRPr="00CF696D">
        <w:rPr>
          <w:rFonts w:ascii="Liberation Serif" w:hAnsi="Liberation Serif"/>
          <w:sz w:val="24"/>
          <w:szCs w:val="24"/>
        </w:rPr>
        <w:t>Задолженность по выплате заработной платы работникам учреждений бюдж</w:t>
      </w:r>
      <w:r w:rsidR="00AF28A0" w:rsidRPr="00CF696D">
        <w:rPr>
          <w:rFonts w:ascii="Liberation Serif" w:hAnsi="Liberation Serif"/>
          <w:sz w:val="24"/>
          <w:szCs w:val="24"/>
        </w:rPr>
        <w:t>етной сферы по состоянию на 01.</w:t>
      </w:r>
      <w:r w:rsidR="00956A9B" w:rsidRPr="00CF696D">
        <w:rPr>
          <w:rFonts w:ascii="Liberation Serif" w:hAnsi="Liberation Serif"/>
          <w:sz w:val="24"/>
          <w:szCs w:val="24"/>
        </w:rPr>
        <w:t>0</w:t>
      </w:r>
      <w:r w:rsidR="00CF696D">
        <w:rPr>
          <w:rFonts w:ascii="Liberation Serif" w:hAnsi="Liberation Serif"/>
          <w:sz w:val="24"/>
          <w:szCs w:val="24"/>
        </w:rPr>
        <w:t>3</w:t>
      </w:r>
      <w:r w:rsidRPr="00CF696D">
        <w:rPr>
          <w:rFonts w:ascii="Liberation Serif" w:hAnsi="Liberation Serif"/>
          <w:sz w:val="24"/>
          <w:szCs w:val="24"/>
        </w:rPr>
        <w:t>.202</w:t>
      </w:r>
      <w:r w:rsidR="00956A9B" w:rsidRPr="00CF696D">
        <w:rPr>
          <w:rFonts w:ascii="Liberation Serif" w:hAnsi="Liberation Serif"/>
          <w:sz w:val="24"/>
          <w:szCs w:val="24"/>
        </w:rPr>
        <w:t>1</w:t>
      </w:r>
      <w:r w:rsidRPr="00CF696D">
        <w:rPr>
          <w:rFonts w:ascii="Liberation Serif" w:hAnsi="Liberation Serif"/>
          <w:sz w:val="24"/>
          <w:szCs w:val="24"/>
        </w:rPr>
        <w:t xml:space="preserve"> года отсутс</w:t>
      </w:r>
      <w:r w:rsidR="00CA40F9" w:rsidRPr="00CF696D">
        <w:rPr>
          <w:rFonts w:ascii="Liberation Serif" w:hAnsi="Liberation Serif"/>
          <w:sz w:val="24"/>
          <w:szCs w:val="24"/>
        </w:rPr>
        <w:t>т</w:t>
      </w:r>
      <w:r w:rsidRPr="00CF696D">
        <w:rPr>
          <w:rFonts w:ascii="Liberation Serif" w:hAnsi="Liberation Serif"/>
          <w:sz w:val="24"/>
          <w:szCs w:val="24"/>
        </w:rPr>
        <w:t>вует</w:t>
      </w:r>
      <w:r w:rsidRPr="00BB685C">
        <w:rPr>
          <w:rFonts w:ascii="Liberation Serif" w:hAnsi="Liberation Serif"/>
          <w:sz w:val="16"/>
          <w:szCs w:val="16"/>
        </w:rPr>
        <w:t>.</w:t>
      </w:r>
    </w:p>
    <w:p w:rsidR="00C41EDD" w:rsidRDefault="00C41EDD">
      <w:pPr>
        <w:rPr>
          <w:rFonts w:ascii="Liberation Serif" w:hAnsi="Liberation Serif"/>
          <w:sz w:val="16"/>
          <w:szCs w:val="16"/>
        </w:rPr>
      </w:pPr>
    </w:p>
    <w:p w:rsidR="00C41EDD" w:rsidRPr="00747CEB" w:rsidRDefault="00C41EDD" w:rsidP="00C41EDD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 w:rsidR="00747CEB">
        <w:rPr>
          <w:rFonts w:ascii="Liberation Serif" w:hAnsi="Liberation Serif"/>
          <w:b/>
          <w:sz w:val="28"/>
          <w:szCs w:val="28"/>
        </w:rPr>
        <w:t>28</w:t>
      </w:r>
      <w:r w:rsidRPr="00747CEB">
        <w:rPr>
          <w:rFonts w:ascii="Liberation Serif" w:hAnsi="Liberation Serif"/>
          <w:b/>
          <w:sz w:val="28"/>
          <w:szCs w:val="28"/>
        </w:rPr>
        <w:t>.0</w:t>
      </w:r>
      <w:r w:rsidR="00747CEB">
        <w:rPr>
          <w:rFonts w:ascii="Liberation Serif" w:hAnsi="Liberation Serif"/>
          <w:b/>
          <w:sz w:val="28"/>
          <w:szCs w:val="28"/>
        </w:rPr>
        <w:t>2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p w:rsidR="00747CEB" w:rsidRDefault="00C41EDD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D4FFC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47CEB">
        <w:rPr>
          <w:rFonts w:ascii="Times New Roman" w:hAnsi="Times New Roman" w:cs="Times New Roman"/>
          <w:sz w:val="24"/>
          <w:szCs w:val="24"/>
        </w:rPr>
        <w:t>3</w:t>
      </w:r>
      <w:r w:rsidRPr="00AD4F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из общей суммы расходов составляют </w:t>
      </w:r>
      <w:r>
        <w:rPr>
          <w:rFonts w:ascii="Times New Roman" w:hAnsi="Times New Roman" w:cs="Times New Roman"/>
          <w:sz w:val="24"/>
          <w:szCs w:val="24"/>
        </w:rPr>
        <w:t>75,</w:t>
      </w:r>
      <w:r w:rsidR="00747CEB">
        <w:rPr>
          <w:rFonts w:ascii="Times New Roman" w:hAnsi="Times New Roman" w:cs="Times New Roman"/>
          <w:sz w:val="24"/>
          <w:szCs w:val="24"/>
        </w:rPr>
        <w:t>6</w:t>
      </w:r>
      <w:r w:rsidRPr="00AD4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AD4FFC">
        <w:rPr>
          <w:rFonts w:ascii="Times New Roman" w:hAnsi="Times New Roman" w:cs="Times New Roman"/>
          <w:sz w:val="24"/>
          <w:szCs w:val="24"/>
        </w:rPr>
        <w:t xml:space="preserve"> 2</w:t>
      </w:r>
      <w:r w:rsidR="00747CE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7CEB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FC">
        <w:rPr>
          <w:rFonts w:ascii="Times New Roman" w:hAnsi="Times New Roman" w:cs="Times New Roman"/>
          <w:sz w:val="24"/>
          <w:szCs w:val="24"/>
        </w:rPr>
        <w:t>тыс.</w:t>
      </w:r>
      <w:r w:rsidRPr="00AD4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Pr="00AD4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AD4FFC">
        <w:rPr>
          <w:rFonts w:ascii="Times New Roman" w:hAnsi="Times New Roman" w:cs="Times New Roman"/>
          <w:sz w:val="24"/>
          <w:szCs w:val="24"/>
        </w:rPr>
        <w:t>Исполнение за период январ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47CEB">
        <w:rPr>
          <w:rFonts w:ascii="Times New Roman" w:hAnsi="Times New Roman" w:cs="Times New Roman"/>
          <w:sz w:val="24"/>
          <w:szCs w:val="24"/>
        </w:rPr>
        <w:t xml:space="preserve">–февраль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года составило в размере </w:t>
      </w:r>
      <w:r w:rsidR="00747CEB">
        <w:rPr>
          <w:rFonts w:ascii="Times New Roman" w:hAnsi="Times New Roman" w:cs="Times New Roman"/>
          <w:sz w:val="24"/>
          <w:szCs w:val="24"/>
        </w:rPr>
        <w:t>19 048 ,1</w:t>
      </w:r>
      <w:r w:rsidRPr="00AD4F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47C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7C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AD4FFC">
        <w:rPr>
          <w:rFonts w:ascii="Times New Roman" w:hAnsi="Times New Roman" w:cs="Times New Roman"/>
          <w:sz w:val="24"/>
          <w:szCs w:val="24"/>
        </w:rPr>
        <w:t xml:space="preserve"> утвержденных назначений , в том числе по видам программ:</w:t>
      </w:r>
    </w:p>
    <w:tbl>
      <w:tblPr>
        <w:tblW w:w="10626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843"/>
        <w:gridCol w:w="1701"/>
        <w:gridCol w:w="1698"/>
        <w:gridCol w:w="853"/>
      </w:tblGrid>
      <w:tr w:rsidR="0058167D" w:rsidRPr="0058167D" w:rsidTr="0058167D">
        <w:trPr>
          <w:trHeight w:val="76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Ц.ст</w:t>
            </w:r>
            <w:proofErr w:type="spellEnd"/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Касс. расход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Остаток лимитов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Исполнение лимитов</w:t>
            </w:r>
          </w:p>
        </w:tc>
      </w:tr>
      <w:tr w:rsidR="0058167D" w:rsidRPr="0058167D" w:rsidTr="0058167D">
        <w:trPr>
          <w:trHeight w:val="45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5 097 963,00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835 493,70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4 262 469,30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16,39%</w:t>
            </w:r>
          </w:p>
        </w:tc>
      </w:tr>
      <w:tr w:rsidR="0058167D" w:rsidRPr="0058167D" w:rsidTr="0058167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60 241 000,00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60 241 000,00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2 529 000,00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2 529 000,00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10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835 700,00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118 576 568,98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12 385 864,08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106 190 704,90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10,45%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22 985 382,50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3 488 000,00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19 497 382,50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15,17%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60 669 706,60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5 202 793,30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55 466 913,30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8,58%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16 905 485,88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1 395 484,77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15 510 001,11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8,25%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0640000000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2 177 100,00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0660000000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611 902,16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3 841 297,84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13,74%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0670000000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11 385 694,00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1 687 683,85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9 698 010,15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14,82%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287 695,00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0,45%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218 695,00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0,59%</w:t>
            </w:r>
          </w:p>
        </w:tc>
      </w:tr>
      <w:tr w:rsidR="0058167D" w:rsidRPr="0058167D" w:rsidTr="0058167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117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30 465 701,00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4 377 483,63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26 088 217,37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14,37%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Подпрограмма  "</w:t>
            </w:r>
            <w:proofErr w:type="gramEnd"/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25 066 701,00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3 657 656,87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21 409 044,13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14,59%</w:t>
            </w:r>
          </w:p>
        </w:tc>
      </w:tr>
      <w:tr w:rsidR="0058167D" w:rsidRPr="0058167D" w:rsidTr="0058167D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719 826,76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4 679 173,24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13,33%</w:t>
            </w:r>
          </w:p>
        </w:tc>
      </w:tr>
      <w:tr w:rsidR="0058167D" w:rsidRPr="0058167D" w:rsidTr="0058167D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604 300,00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604 300,00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100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15,43%</w:t>
            </w:r>
          </w:p>
        </w:tc>
      </w:tr>
      <w:tr w:rsidR="0058167D" w:rsidRPr="0058167D" w:rsidTr="0058167D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1 659 687,88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1 659 687,88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9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6 769 466,00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1 376 348,76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5 393 117,24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20,33%</w:t>
            </w:r>
          </w:p>
        </w:tc>
      </w:tr>
      <w:tr w:rsidR="0058167D" w:rsidRPr="0058167D" w:rsidTr="0058167D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489 866,00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80,15%</w:t>
            </w:r>
          </w:p>
        </w:tc>
      </w:tr>
      <w:tr w:rsidR="0058167D" w:rsidRPr="0058167D" w:rsidTr="0058167D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886 482,76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5 271 817,24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14,39%</w:t>
            </w:r>
          </w:p>
        </w:tc>
      </w:tr>
      <w:tr w:rsidR="0058167D" w:rsidRPr="0058167D" w:rsidTr="0058167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25 330,52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163 669,48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13,40%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309 626,20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309 626,20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3 633 800,00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103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58167D" w:rsidRPr="0058167D" w:rsidTr="0058167D">
        <w:trPr>
          <w:trHeight w:val="30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67D" w:rsidRPr="00747CEB" w:rsidRDefault="0058167D" w:rsidP="00747C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232 400 813,06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19 048 125,69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213 352 687,37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67D" w:rsidRPr="00747CEB" w:rsidRDefault="0058167D" w:rsidP="00747C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EB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8,19%</w:t>
            </w:r>
          </w:p>
        </w:tc>
      </w:tr>
    </w:tbl>
    <w:p w:rsidR="00747CEB" w:rsidRPr="0058167D" w:rsidRDefault="00747CEB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47CEB" w:rsidRPr="0058167D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32" w:rsidRDefault="00811D32" w:rsidP="00A01D62">
      <w:pPr>
        <w:spacing w:after="0" w:line="240" w:lineRule="auto"/>
      </w:pPr>
      <w:r>
        <w:separator/>
      </w:r>
    </w:p>
  </w:endnote>
  <w:endnote w:type="continuationSeparator" w:id="0">
    <w:p w:rsidR="00811D32" w:rsidRDefault="00811D3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EndPr/>
    <w:sdtContent>
      <w:p w:rsidR="005458C6" w:rsidRDefault="0054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51" w:rsidRPr="00640151">
          <w:rPr>
            <w:noProof/>
            <w:lang w:val="ru-RU"/>
          </w:rPr>
          <w:t>6</w:t>
        </w:r>
        <w:r>
          <w:fldChar w:fldCharType="end"/>
        </w:r>
      </w:p>
    </w:sdtContent>
  </w:sdt>
  <w:p w:rsidR="005458C6" w:rsidRDefault="005458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32" w:rsidRDefault="00811D32" w:rsidP="00A01D62">
      <w:pPr>
        <w:spacing w:after="0" w:line="240" w:lineRule="auto"/>
      </w:pPr>
      <w:r>
        <w:separator/>
      </w:r>
    </w:p>
  </w:footnote>
  <w:footnote w:type="continuationSeparator" w:id="0">
    <w:p w:rsidR="00811D32" w:rsidRDefault="00811D3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C88"/>
    <w:rsid w:val="0031480B"/>
    <w:rsid w:val="00317A41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908AA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948B9"/>
    <w:rsid w:val="006E29A0"/>
    <w:rsid w:val="00747CEB"/>
    <w:rsid w:val="00760C15"/>
    <w:rsid w:val="007A040D"/>
    <w:rsid w:val="007A2E10"/>
    <w:rsid w:val="007D6DC2"/>
    <w:rsid w:val="00811491"/>
    <w:rsid w:val="00811D32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118F"/>
    <w:rsid w:val="00A66965"/>
    <w:rsid w:val="00AA1A75"/>
    <w:rsid w:val="00AA7F79"/>
    <w:rsid w:val="00AD4FFC"/>
    <w:rsid w:val="00AE1209"/>
    <w:rsid w:val="00AF28A0"/>
    <w:rsid w:val="00B1487A"/>
    <w:rsid w:val="00B33574"/>
    <w:rsid w:val="00B523BD"/>
    <w:rsid w:val="00BB685C"/>
    <w:rsid w:val="00BE7EC1"/>
    <w:rsid w:val="00C41EDD"/>
    <w:rsid w:val="00C5555B"/>
    <w:rsid w:val="00CA40F9"/>
    <w:rsid w:val="00CB450C"/>
    <w:rsid w:val="00CE5D0A"/>
    <w:rsid w:val="00CF6804"/>
    <w:rsid w:val="00CF696D"/>
    <w:rsid w:val="00D24FAF"/>
    <w:rsid w:val="00D442EC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D17E4"/>
    <w:rsid w:val="00F40E2D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E94B-84C1-4D8F-BDC5-7B5D134F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2021-03-04T07:20:00Z</cp:lastPrinted>
  <dcterms:created xsi:type="dcterms:W3CDTF">2021-03-03T07:00:00Z</dcterms:created>
  <dcterms:modified xsi:type="dcterms:W3CDTF">2021-03-04T07:21:00Z</dcterms:modified>
</cp:coreProperties>
</file>