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>Администрация  Гаринского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>Главе Гаринского городского округа С.Е.Величко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550D14">
            <w:pPr>
              <w:jc w:val="both"/>
            </w:pPr>
            <w:hyperlink r:id="rId7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05D4">
        <w:rPr>
          <w:rFonts w:ascii="Times New Roman" w:hAnsi="Times New Roman"/>
          <w:sz w:val="28"/>
          <w:szCs w:val="28"/>
        </w:rPr>
        <w:t>Межрайонная ИФНС России № 26 по Свердловской области для информирования налогоплательщиков  просит разместить следующую информацию:</w:t>
      </w:r>
    </w:p>
    <w:p w:rsidR="002D7101" w:rsidRDefault="00E845C0" w:rsidP="002D7101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Тема: </w:t>
      </w:r>
      <w:r w:rsidR="002D7101">
        <w:rPr>
          <w:rFonts w:ascii="Times New Roman" w:hAnsi="Times New Roman"/>
          <w:sz w:val="28"/>
          <w:szCs w:val="28"/>
        </w:rPr>
        <w:t xml:space="preserve">Какие социальные гарантии предоставляет официальная зарплата </w:t>
      </w:r>
    </w:p>
    <w:p w:rsidR="002D7101" w:rsidRDefault="002D7101" w:rsidP="002D7101">
      <w:pPr>
        <w:pStyle w:val="a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26 по Свердловской области информирует, что о</w:t>
      </w:r>
      <w:r>
        <w:rPr>
          <w:sz w:val="28"/>
          <w:szCs w:val="28"/>
        </w:rPr>
        <w:t xml:space="preserve">дним из основных принципов правового регулирования трудовых отношений в России является обеспечение права каждого работника на своевременную и в полном размере выплату справедливой «белой» заработной платы, гарантирующей достойную жизнь для него самого и его семьи. </w:t>
      </w:r>
    </w:p>
    <w:p w:rsidR="002D7101" w:rsidRDefault="002D7101" w:rsidP="002D71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Легальная зарплата – гарант социальных выплат, таких, как: </w:t>
      </w:r>
    </w:p>
    <w:p w:rsidR="002D7101" w:rsidRDefault="002D7101" w:rsidP="002D7101">
      <w:pPr>
        <w:numPr>
          <w:ilvl w:val="0"/>
          <w:numId w:val="20"/>
        </w:numPr>
        <w:spacing w:before="100" w:beforeAutospacing="1" w:after="100" w:afterAutospacing="1"/>
        <w:ind w:left="600"/>
        <w:jc w:val="both"/>
        <w:rPr>
          <w:szCs w:val="28"/>
        </w:rPr>
      </w:pPr>
      <w:r>
        <w:t>оплата листка нетрудоспособности (аналогично оплате отпуска оплата листков нетрудоспособности - по временной нетрудоспособности, по беременности и родам, по уходу за ребенком) рассчитывается, исходя из официального заработка (</w:t>
      </w:r>
      <w:hyperlink r:id="rId8" w:tgtFrame="_blank" w:history="1">
        <w:r>
          <w:rPr>
            <w:rStyle w:val="af"/>
          </w:rPr>
          <w:t xml:space="preserve">статья 183 </w:t>
        </w:r>
      </w:hyperlink>
      <w:hyperlink r:id="rId9" w:tgtFrame="_blank" w:history="1">
        <w:r>
          <w:rPr>
            <w:rStyle w:val="af"/>
          </w:rPr>
          <w:t>ТК РФ</w:t>
        </w:r>
      </w:hyperlink>
      <w:r>
        <w:t xml:space="preserve">; </w:t>
      </w:r>
      <w:hyperlink r:id="rId10" w:tgtFrame="_blank" w:history="1">
        <w:r>
          <w:rPr>
            <w:rStyle w:val="af"/>
          </w:rPr>
          <w:t xml:space="preserve">статья 14 </w:t>
        </w:r>
      </w:hyperlink>
      <w:hyperlink r:id="rId11" w:tgtFrame="_blank" w:history="1">
        <w:r>
          <w:rPr>
            <w:rStyle w:val="af"/>
          </w:rPr>
          <w:t>Федерального закона от 29.12.2006 N 255-ФЗ</w:t>
        </w:r>
      </w:hyperlink>
      <w:r>
        <w:t>);</w:t>
      </w:r>
    </w:p>
    <w:p w:rsidR="002D7101" w:rsidRDefault="002D7101" w:rsidP="002D7101">
      <w:pPr>
        <w:numPr>
          <w:ilvl w:val="0"/>
          <w:numId w:val="20"/>
        </w:numPr>
        <w:spacing w:before="100" w:beforeAutospacing="1" w:after="100" w:afterAutospacing="1"/>
        <w:ind w:left="600"/>
        <w:jc w:val="both"/>
      </w:pPr>
      <w:r>
        <w:t>выходное пособие (при увольнении работника выходное пособие будет исчислено исходя из официальной части зарплаты (</w:t>
      </w:r>
      <w:hyperlink r:id="rId12" w:history="1">
        <w:r>
          <w:rPr>
            <w:rStyle w:val="af"/>
          </w:rPr>
          <w:t xml:space="preserve">статья 178 </w:t>
        </w:r>
      </w:hyperlink>
      <w:hyperlink r:id="rId13" w:history="1">
        <w:r>
          <w:rPr>
            <w:rStyle w:val="af"/>
          </w:rPr>
          <w:t>ТК РФ</w:t>
        </w:r>
      </w:hyperlink>
      <w:r>
        <w:t>);</w:t>
      </w:r>
    </w:p>
    <w:p w:rsidR="002D7101" w:rsidRDefault="002D7101" w:rsidP="002D7101">
      <w:pPr>
        <w:numPr>
          <w:ilvl w:val="0"/>
          <w:numId w:val="20"/>
        </w:numPr>
        <w:spacing w:before="100" w:beforeAutospacing="1" w:after="100" w:afterAutospacing="1"/>
        <w:ind w:left="600"/>
        <w:jc w:val="both"/>
      </w:pPr>
      <w:r>
        <w:t>будущая пенсия (отчисления в ПФР также производятся на основании «белой» части зарплаты. Именно из этих отчислений складывается будущая пенсия работника (</w:t>
      </w:r>
      <w:hyperlink r:id="rId14" w:tgtFrame="_blank" w:history="1">
        <w:r>
          <w:rPr>
            <w:rStyle w:val="af"/>
          </w:rPr>
          <w:t>статья 10 Закона от 15.12.2001 N 167-ФЗ</w:t>
        </w:r>
      </w:hyperlink>
      <w:r>
        <w:t>);</w:t>
      </w:r>
    </w:p>
    <w:p w:rsidR="002D7101" w:rsidRDefault="002D7101" w:rsidP="002D7101">
      <w:pPr>
        <w:numPr>
          <w:ilvl w:val="0"/>
          <w:numId w:val="20"/>
        </w:numPr>
        <w:spacing w:before="100" w:beforeAutospacing="1" w:after="100" w:afterAutospacing="1"/>
        <w:ind w:left="600"/>
        <w:jc w:val="both"/>
      </w:pPr>
      <w:r>
        <w:t>налоговые вычеты при обучении, лечении, приобретении жилья и др. (</w:t>
      </w:r>
      <w:hyperlink r:id="rId15" w:tgtFrame="_blank" w:history="1">
        <w:r>
          <w:rPr>
            <w:rStyle w:val="af"/>
          </w:rPr>
          <w:t>статьи 218-221 НК РФ</w:t>
        </w:r>
      </w:hyperlink>
      <w:r>
        <w:t>);</w:t>
      </w:r>
    </w:p>
    <w:p w:rsidR="002D7101" w:rsidRDefault="002D7101" w:rsidP="002D7101">
      <w:pPr>
        <w:numPr>
          <w:ilvl w:val="0"/>
          <w:numId w:val="20"/>
        </w:numPr>
        <w:spacing w:before="100" w:beforeAutospacing="1" w:after="100" w:afterAutospacing="1"/>
        <w:ind w:left="600"/>
        <w:jc w:val="both"/>
      </w:pPr>
      <w:r>
        <w:lastRenderedPageBreak/>
        <w:t>кредит и ипотека (работник, получающий «на бумаге» небольшую заработную плату, рискует не получить кредит на крупную сумму в банке или получить отказ в оформлении ипотеки);</w:t>
      </w:r>
    </w:p>
    <w:p w:rsidR="002D7101" w:rsidRDefault="002D7101" w:rsidP="002D7101">
      <w:pPr>
        <w:numPr>
          <w:ilvl w:val="0"/>
          <w:numId w:val="20"/>
        </w:numPr>
        <w:spacing w:before="100" w:beforeAutospacing="1" w:after="100" w:afterAutospacing="1"/>
        <w:ind w:left="600"/>
        <w:jc w:val="both"/>
      </w:pPr>
      <w:r>
        <w:t xml:space="preserve">трудовые споры с работодателем (при их возникновении вероятна возможность не получить заработанные деньги, если размер, порядок выплаты, срок выплаты зарплаты не закреплены документально). </w:t>
      </w:r>
    </w:p>
    <w:p w:rsidR="002D7101" w:rsidRDefault="002D7101" w:rsidP="002D71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социальной сферы напрямую зависит от объема налоговых поступлений. Выплачиваемые с зарплат НДФЛ и взносы пополняют соответствующие бюджеты. Данные выплаты участвуют в финансировании национальных проектов, социальных программ, в увеличении объемов бесплатной медицинской помощи, пенсий и пособий.</w:t>
      </w:r>
    </w:p>
    <w:p w:rsidR="002D7101" w:rsidRDefault="002D7101" w:rsidP="002D7101">
      <w:pPr>
        <w:ind w:firstLine="709"/>
        <w:jc w:val="both"/>
        <w:rPr>
          <w:szCs w:val="28"/>
        </w:rPr>
      </w:pPr>
      <w:r>
        <w:rPr>
          <w:color w:val="000000" w:themeColor="text1"/>
        </w:rPr>
        <w:t>Не лишайте себя социальных льгот и гарантий. Сообщите о выплате зарплаты «в конверте» в Управление Федеральной налоговой службы по Свердловской области по телефонам (343) – 3602450, (343) – 3560682 или через Интернет-сервис </w:t>
      </w:r>
      <w:hyperlink r:id="rId16" w:history="1">
        <w:r>
          <w:rPr>
            <w:rStyle w:val="af"/>
            <w:color w:val="000000" w:themeColor="text1"/>
          </w:rPr>
          <w:t>«Обратиться в ФНС России»</w:t>
        </w:r>
      </w:hyperlink>
      <w:r>
        <w:t>.</w:t>
      </w:r>
    </w:p>
    <w:p w:rsidR="007846D7" w:rsidRPr="00BA4914" w:rsidRDefault="007846D7" w:rsidP="002D7101">
      <w:pPr>
        <w:pStyle w:val="10"/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4B51C1" w:rsidRDefault="004B51C1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Российской Федерации 1 класса                                                                 А.А.Гринько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518A" w:rsidRDefault="00504079" w:rsidP="004B51C1">
      <w:pPr>
        <w:contextualSpacing/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7F3A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14" w:rsidRDefault="00550D14" w:rsidP="00BB142A">
      <w:r>
        <w:separator/>
      </w:r>
    </w:p>
  </w:endnote>
  <w:endnote w:type="continuationSeparator" w:id="0">
    <w:p w:rsidR="00550D14" w:rsidRDefault="00550D14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14" w:rsidRDefault="00550D14" w:rsidP="00BB142A">
      <w:r>
        <w:separator/>
      </w:r>
    </w:p>
  </w:footnote>
  <w:footnote w:type="continuationSeparator" w:id="0">
    <w:p w:rsidR="00550D14" w:rsidRDefault="00550D14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101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6486F"/>
    <w:multiLevelType w:val="multilevel"/>
    <w:tmpl w:val="05F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A2DBF"/>
    <w:multiLevelType w:val="multilevel"/>
    <w:tmpl w:val="86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2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C34F2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41F89"/>
    <w:rsid w:val="002517DD"/>
    <w:rsid w:val="00271B66"/>
    <w:rsid w:val="0028786E"/>
    <w:rsid w:val="002A7029"/>
    <w:rsid w:val="002B4FF2"/>
    <w:rsid w:val="002C4A7F"/>
    <w:rsid w:val="002D7101"/>
    <w:rsid w:val="002E0E56"/>
    <w:rsid w:val="002F2A98"/>
    <w:rsid w:val="00333EE8"/>
    <w:rsid w:val="00375D2C"/>
    <w:rsid w:val="00384F6A"/>
    <w:rsid w:val="003863D3"/>
    <w:rsid w:val="003E2222"/>
    <w:rsid w:val="00417BFA"/>
    <w:rsid w:val="00450506"/>
    <w:rsid w:val="004A1660"/>
    <w:rsid w:val="004B51C1"/>
    <w:rsid w:val="00500292"/>
    <w:rsid w:val="00504079"/>
    <w:rsid w:val="005052FB"/>
    <w:rsid w:val="005162AA"/>
    <w:rsid w:val="0053014C"/>
    <w:rsid w:val="00550D14"/>
    <w:rsid w:val="00592536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1254"/>
    <w:rsid w:val="008D2979"/>
    <w:rsid w:val="008D6C7C"/>
    <w:rsid w:val="00922456"/>
    <w:rsid w:val="009261EB"/>
    <w:rsid w:val="00937C9E"/>
    <w:rsid w:val="00944685"/>
    <w:rsid w:val="00950BDB"/>
    <w:rsid w:val="009630CF"/>
    <w:rsid w:val="00984FC6"/>
    <w:rsid w:val="009A1A4B"/>
    <w:rsid w:val="009B5EEF"/>
    <w:rsid w:val="009C0578"/>
    <w:rsid w:val="009D232D"/>
    <w:rsid w:val="009D27E1"/>
    <w:rsid w:val="009D5054"/>
    <w:rsid w:val="009F4DBA"/>
    <w:rsid w:val="00A1578B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757A1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45C0"/>
    <w:rsid w:val="00E85910"/>
    <w:rsid w:val="00EC5B58"/>
    <w:rsid w:val="00EE2352"/>
    <w:rsid w:val="00EF41D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2E8A50-1D5B-4F41-B147-0E02307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35144&amp;backlink=1&amp;nd=102074279" TargetMode="External"/><Relationship Id="rId13" Type="http://schemas.openxmlformats.org/officeDocument/2006/relationships/hyperlink" Target="http://pravo.gov.ru/proxy/ips/?docbody=&amp;prevDoc=102435144&amp;backlink=1&amp;nd=10207427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natabusi@mail.ru" TargetMode="External"/><Relationship Id="rId12" Type="http://schemas.openxmlformats.org/officeDocument/2006/relationships/hyperlink" Target="http://pravo.gov.ru/proxy/ips/?docbody=&amp;prevDoc=102435144&amp;backlink=1&amp;nd=10207427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alog.ru/rn78/service/obr_ft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prevDoc=102143557&amp;backlink=1&amp;&amp;nd=10214553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alog.garant.ru/fns/nk/12625b5ff8431ca71b30b3e3ab38283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43557&amp;backlink=1&amp;&amp;nd=10214553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35144&amp;backlink=1&amp;nd=102074279" TargetMode="External"/><Relationship Id="rId14" Type="http://schemas.openxmlformats.org/officeDocument/2006/relationships/hyperlink" Target="http://pravo.gov.ru/proxy/ips/?docbody=&amp;nd=102073909&amp;intelsearch=%EE%F2+15.12.2001+%B9+167-%D4%C7+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182</cp:revision>
  <cp:lastPrinted>2021-10-27T09:55:00Z</cp:lastPrinted>
  <dcterms:created xsi:type="dcterms:W3CDTF">2020-06-17T08:48:00Z</dcterms:created>
  <dcterms:modified xsi:type="dcterms:W3CDTF">2022-06-01T10:50:00Z</dcterms:modified>
</cp:coreProperties>
</file>