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0C7E43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0C7E43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6362D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–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май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8603BF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66 087,8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тыс.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71 164,6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44,7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0C7E43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9,9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49 674,1</w:t>
      </w:r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0,1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0C7E43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бюджета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71 765,0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6 302,6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32 816,6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 891,1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C37E4" w:rsidRPr="000C7E43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2 361 658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май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BC3A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14 420,0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D2537B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15,3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2077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выше</w:t>
      </w:r>
      <w:r w:rsidR="003436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отчетный период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37,5%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6362D8" w:rsidRPr="006362D8" w:rsidRDefault="006362D8" w:rsidP="0063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62D8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6362D8" w:rsidRPr="006362D8" w:rsidRDefault="006362D8" w:rsidP="0063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62D8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6362D8" w:rsidRPr="006362D8" w:rsidRDefault="006362D8" w:rsidP="006362D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362D8">
        <w:rPr>
          <w:rFonts w:ascii="Times New Roman" w:eastAsia="Arial Unicode MS" w:hAnsi="Times New Roman" w:cs="Times New Roman"/>
          <w:b/>
        </w:rPr>
        <w:t xml:space="preserve"> Гаринского городского округа на 01.06.2023 года</w:t>
      </w:r>
    </w:p>
    <w:p w:rsidR="006362D8" w:rsidRDefault="006362D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417"/>
        <w:gridCol w:w="1276"/>
        <w:gridCol w:w="850"/>
        <w:gridCol w:w="851"/>
      </w:tblGrid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ind w:left="-108" w:right="-128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Код классификации </w:t>
            </w:r>
          </w:p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</w:p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>Объем средств по решению о бюджете</w:t>
            </w:r>
          </w:p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 на 2023г. </w:t>
            </w:r>
          </w:p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>сумма</w:t>
            </w:r>
          </w:p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Исполнение за отчетный период </w:t>
            </w:r>
          </w:p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>Снижение / рост к 2022 г.</w:t>
            </w:r>
          </w:p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Arial Unicode MS" w:hAnsi="Liberation Serif" w:cs="Times New Roman"/>
                <w:sz w:val="20"/>
                <w:szCs w:val="20"/>
              </w:rPr>
              <w:t>в %</w:t>
            </w:r>
          </w:p>
        </w:tc>
      </w:tr>
      <w:tr w:rsidR="006362D8" w:rsidRPr="006362D8" w:rsidTr="006362D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ind w:left="-108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94 012 200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49 674 113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+ 50,8</w:t>
            </w:r>
          </w:p>
        </w:tc>
      </w:tr>
      <w:tr w:rsidR="006362D8" w:rsidRPr="006362D8" w:rsidTr="006362D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89 747 100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45 736 510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+ 53,4</w:t>
            </w:r>
          </w:p>
        </w:tc>
      </w:tr>
      <w:tr w:rsidR="006362D8" w:rsidRPr="006362D8" w:rsidTr="006362D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  <w:p w:rsidR="006362D8" w:rsidRPr="006362D8" w:rsidRDefault="006362D8" w:rsidP="006362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(Налог на доходы с физических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79 075 000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41 395 221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+ 47,5</w:t>
            </w:r>
          </w:p>
        </w:tc>
      </w:tr>
      <w:tr w:rsidR="006362D8" w:rsidRPr="006362D8" w:rsidTr="006362D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</w:rPr>
              <w:t>7 819 100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</w:rPr>
              <w:t>3 529 423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</w:rPr>
              <w:t>+ 491,9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1 714 000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460 005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- 45,2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29 935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+ 147,8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190 129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- 4,9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131 797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+ 29,3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4 265 100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3 937 603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+ 25,8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ДОХОДЫ ОТ ИСПОЛЬЗОВАНИЯ </w:t>
            </w: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 xml:space="preserve">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1 935 200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937 501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+ 13,9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2 339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- 12,1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1 143 000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575 483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+ 10,4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12 458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- 0,5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1 142 600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2 150 607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+ 22,0</w:t>
            </w:r>
          </w:p>
        </w:tc>
      </w:tr>
      <w:tr w:rsidR="006362D8" w:rsidRPr="006362D8" w:rsidTr="006362D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000 1 17 01000 00 0000 000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НЕВЫЯСНЕННЫЕ ПОСТУПЛЛЕНИЯ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259 215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8 799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+ 2846</w:t>
            </w:r>
          </w:p>
        </w:tc>
      </w:tr>
      <w:tr w:rsidR="006362D8" w:rsidRPr="006362D8" w:rsidTr="006362D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277 152 360,6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116 413 670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+ 11,7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277 152 360,6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118 775 328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+ 6,7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Дотации</w:t>
            </w: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172 233 000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71 765 000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- 8,7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6362D8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60 624 000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25 260 000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- 59,2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111 609 000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46 505 000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+ 180,2</w:t>
            </w:r>
          </w:p>
        </w:tc>
      </w:tr>
      <w:tr w:rsidR="006362D8" w:rsidRPr="006362D8" w:rsidTr="006362D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Субсидии</w:t>
            </w: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8 953 149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6 302 579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+ 104,2</w:t>
            </w:r>
          </w:p>
        </w:tc>
      </w:tr>
      <w:tr w:rsidR="006362D8" w:rsidRPr="006362D8" w:rsidTr="006362D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362D8" w:rsidRPr="006362D8" w:rsidTr="006362D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000 2 02 25590 00 0000 150</w:t>
            </w:r>
          </w:p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2 151 000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335 430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362D8" w:rsidRPr="006362D8" w:rsidTr="006362D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6 583 749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5 748 749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+ 147,5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Субвенции </w:t>
            </w: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67 127 600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32 816 642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+ 16,3</w:t>
            </w:r>
          </w:p>
        </w:tc>
      </w:tr>
      <w:tr w:rsidR="006362D8" w:rsidRPr="006362D8" w:rsidTr="00636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362D8" w:rsidRPr="006362D8" w:rsidTr="006362D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ф00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13 098 600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8 135 190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+ 16,9</w:t>
            </w:r>
          </w:p>
        </w:tc>
      </w:tr>
      <w:tr w:rsidR="006362D8" w:rsidRPr="006362D8" w:rsidTr="006362D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336 400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135 274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+ 14,9</w:t>
            </w:r>
          </w:p>
        </w:tc>
      </w:tr>
      <w:tr w:rsidR="006362D8" w:rsidRPr="006362D8" w:rsidTr="006362D8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362D8" w:rsidRPr="006362D8" w:rsidTr="006362D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943 100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508 178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+ 27,6</w:t>
            </w:r>
          </w:p>
        </w:tc>
      </w:tr>
      <w:tr w:rsidR="006362D8" w:rsidRPr="006362D8" w:rsidTr="006362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52 739 800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24 038 000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+ 16,0</w:t>
            </w:r>
          </w:p>
        </w:tc>
      </w:tr>
      <w:tr w:rsidR="006362D8" w:rsidRPr="006362D8" w:rsidTr="006362D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28 838 611,6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7 891 107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+ 429,4</w:t>
            </w:r>
          </w:p>
        </w:tc>
      </w:tr>
      <w:tr w:rsidR="006362D8" w:rsidRPr="006362D8" w:rsidTr="006362D8">
        <w:trPr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000 2 02 45179 00 0000 150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686 900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219 583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6362D8" w:rsidRPr="006362D8" w:rsidTr="006362D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1 969 000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797 771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- 10,3</w:t>
            </w:r>
          </w:p>
        </w:tc>
      </w:tr>
      <w:tr w:rsidR="006362D8" w:rsidRPr="006362D8" w:rsidTr="006362D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6362D8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26 182 711,6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6 873 753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+1043</w:t>
            </w:r>
          </w:p>
        </w:tc>
      </w:tr>
      <w:tr w:rsidR="006362D8" w:rsidRPr="006362D8" w:rsidTr="006362D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62D8" w:rsidRPr="006362D8" w:rsidRDefault="006362D8" w:rsidP="0063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6362D8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-2 361 658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- 67,1</w:t>
            </w:r>
          </w:p>
        </w:tc>
      </w:tr>
      <w:tr w:rsidR="006362D8" w:rsidRPr="006362D8" w:rsidTr="006362D8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8" w:rsidRPr="006362D8" w:rsidRDefault="006362D8" w:rsidP="006362D8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371 164 560,6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166 087 783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D8" w:rsidRPr="006362D8" w:rsidRDefault="006362D8" w:rsidP="006362D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62D8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+ 21,1</w:t>
            </w:r>
          </w:p>
        </w:tc>
      </w:tr>
    </w:tbl>
    <w:p w:rsidR="006362D8" w:rsidRPr="006362D8" w:rsidRDefault="006362D8" w:rsidP="001505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</w:t>
      </w:r>
      <w:r w:rsidR="00150512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НАЛОГИ НА ДОХОДЫ ФИЗИЧЕСКИХ ЛИЦ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(52,3 %) –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плановые показатели по данному налогу выполнены.</w:t>
      </w:r>
    </w:p>
    <w:p w:rsidR="006362D8" w:rsidRPr="006362D8" w:rsidRDefault="006362D8" w:rsidP="001505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НАЛОГИ НА ТОВАРЫ (РАБОТЫ, УСЛУГИ), РЕАЛИЗУЕМЫЕ НА ТЕРРИТОРИИ РОССИЙСКОЙ ФЕДЕРАЦИИ (Акцизы) 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>(45,1 %) - плановые показатели по данному доходу выполнены.</w:t>
      </w:r>
    </w:p>
    <w:p w:rsidR="006362D8" w:rsidRPr="006362D8" w:rsidRDefault="006362D8" w:rsidP="00150512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НАЛОГИ НА СОВОКУПНЫЙ ДОХОД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(26,8%) – неисполнение плановых показателей обусловлено снижением поступлении по УСН.</w:t>
      </w:r>
    </w:p>
    <w:p w:rsidR="00150512" w:rsidRDefault="006362D8" w:rsidP="00150512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НАЛОГИ НА ИМУЩЕСТВО 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(13,2 %) – неисполнение плановых показателей связано с тем, что срок уплаты налога на имущество до 01 декабря 2023 года. </w:t>
      </w:r>
    </w:p>
    <w:p w:rsidR="00150512" w:rsidRDefault="00150512" w:rsidP="00150512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ЗЕМЕЛЬНЫЙ НАЛО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Г (34,1 %) – неисполнение плановых показателей связано с тем, что срок уплаты налога на имущество до 01 декабря 2023 года. </w:t>
      </w:r>
    </w:p>
    <w:p w:rsidR="00150512" w:rsidRDefault="00150512" w:rsidP="00150512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ГОСУДАРСТВЕННАЯ ПОШЛИНА 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(37,1 %) – плановые показатели по данному доходу выполнены. 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</w:t>
      </w:r>
    </w:p>
    <w:p w:rsidR="00150512" w:rsidRDefault="00150512" w:rsidP="00150512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ДОХОДЫ ОТ ИСПОЛЬЗОВАНИЯ ИМУЩЕСТВА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(48,4 %) –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>перевыполнение плановых показателей связано с тем, что поступила просроченная задолженность прошлых лет за аренду земельного участка.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</w:t>
      </w:r>
    </w:p>
    <w:p w:rsidR="00150512" w:rsidRDefault="00150512" w:rsidP="00150512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ПЛАТЕЖИ ПРИ ПОЛЬЗОВАНИИ ПРИРОДНЫМИ РЕСУРСАМИ 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>(54,4%) - перевыполнение плановых показателей связано с тем, что поступили платежи ранее установленного срока.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</w:t>
      </w:r>
    </w:p>
    <w:p w:rsidR="00150512" w:rsidRDefault="00150512" w:rsidP="00150512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ДОХОДЫ ОТ ОКАЗАНИЯ ПЛАТНЫХ УСЛУГ (РАБОТ)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(50,3 %) –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>перевыполнение плановых показателей связано с тем, что поступила за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долженность по платному питанию.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</w:t>
      </w:r>
    </w:p>
    <w:p w:rsidR="00150512" w:rsidRDefault="00150512" w:rsidP="00150512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ДОХОДЫ ОТ ПРОДАЖИ МАТЕРИАЛЬНЫХ И НЕМАТЕРИАЛЬНЫХ АКТИВОВ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(31,1 %)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6362D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 ШТРАФЫ, САНКЦИИ, ВОЗМЕЩЕНИЕ УЩЕРБА </w:t>
      </w:r>
      <w:r w:rsidRPr="006362D8">
        <w:rPr>
          <w:rFonts w:ascii="Liberation Serif" w:eastAsia="Times New Roman" w:hAnsi="Liberation Serif" w:cs="Times New Roman"/>
          <w:sz w:val="20"/>
          <w:szCs w:val="20"/>
          <w:lang w:eastAsia="ru-RU"/>
        </w:rPr>
        <w:t>(188,2 %)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tbl>
      <w:tblPr>
        <w:tblW w:w="11108" w:type="dxa"/>
        <w:tblLayout w:type="fixed"/>
        <w:tblLook w:val="04A0" w:firstRow="1" w:lastRow="0" w:firstColumn="1" w:lastColumn="0" w:noHBand="0" w:noVBand="1"/>
      </w:tblPr>
      <w:tblGrid>
        <w:gridCol w:w="3944"/>
        <w:gridCol w:w="876"/>
        <w:gridCol w:w="1701"/>
        <w:gridCol w:w="1701"/>
        <w:gridCol w:w="1701"/>
        <w:gridCol w:w="992"/>
        <w:gridCol w:w="193"/>
      </w:tblGrid>
      <w:tr w:rsidR="00C41EDD" w:rsidRPr="00E91FEE" w:rsidTr="00E91FEE">
        <w:trPr>
          <w:trHeight w:val="6462"/>
        </w:trPr>
        <w:tc>
          <w:tcPr>
            <w:tcW w:w="1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512" w:rsidRPr="00E91FEE" w:rsidRDefault="006362D8" w:rsidP="00150512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150512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63C67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РАС</w:t>
            </w:r>
            <w:r w:rsidR="00B1487A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ХОДЫ</w:t>
            </w:r>
          </w:p>
          <w:p w:rsidR="000C7E43" w:rsidRPr="00E91FEE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E91FEE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юджет Гаринского городского округа по расходам по состоянию на 01.</w:t>
            </w:r>
            <w:r w:rsidR="003654E2" w:rsidRPr="00E91FEE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A465B9" w:rsidRPr="00E91FEE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3654E2" w:rsidRPr="00E91FE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года исполнен в размере </w:t>
            </w:r>
            <w:r w:rsidR="00AC21BD">
              <w:rPr>
                <w:rFonts w:ascii="Liberation Serif" w:hAnsi="Liberation Serif" w:cs="Times New Roman"/>
                <w:sz w:val="20"/>
                <w:szCs w:val="20"/>
              </w:rPr>
              <w:t>142 577,8</w:t>
            </w:r>
            <w:r w:rsidR="00B17058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т</w:t>
            </w:r>
            <w:r w:rsidR="0022370D" w:rsidRPr="00E91FEE">
              <w:rPr>
                <w:rFonts w:ascii="Liberation Serif" w:hAnsi="Liberation Serif" w:cs="Times New Roman"/>
                <w:sz w:val="20"/>
                <w:szCs w:val="20"/>
              </w:rPr>
              <w:t>ыс. руб.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A4E43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или к годовому назначению</w:t>
            </w:r>
            <w:r w:rsidR="00D14DE1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0C7E43" w:rsidRPr="00E91FEE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="00A465B9" w:rsidRPr="00E91FEE">
              <w:rPr>
                <w:rFonts w:ascii="Liberation Serif" w:hAnsi="Liberation Serif" w:cs="Times New Roman"/>
                <w:sz w:val="20"/>
                <w:szCs w:val="20"/>
              </w:rPr>
              <w:t>29 690,9</w:t>
            </w:r>
            <w:r w:rsidR="0022370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тыс.</w:t>
            </w:r>
            <w:r w:rsidR="00D14DE1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р</w:t>
            </w:r>
            <w:r w:rsidR="0022370D" w:rsidRPr="00E91FEE">
              <w:rPr>
                <w:rFonts w:ascii="Liberation Serif" w:hAnsi="Liberation Serif" w:cs="Times New Roman"/>
                <w:sz w:val="20"/>
                <w:szCs w:val="20"/>
              </w:rPr>
              <w:t>уб</w:t>
            </w:r>
            <w:r w:rsidR="00B17058" w:rsidRPr="00E91FEE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="004557D6" w:rsidRPr="00E91FEE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выполнение составило </w:t>
            </w:r>
            <w:r w:rsidR="00A465B9" w:rsidRPr="00E91FEE">
              <w:rPr>
                <w:rFonts w:ascii="Liberation Serif" w:hAnsi="Liberation Serif" w:cs="Times New Roman"/>
                <w:sz w:val="20"/>
                <w:szCs w:val="20"/>
              </w:rPr>
              <w:t>33,</w:t>
            </w:r>
            <w:r w:rsidR="000C7E43" w:rsidRPr="00E91FEE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% , что </w:t>
            </w:r>
            <w:r w:rsidR="000C7E43" w:rsidRPr="00E91FEE">
              <w:rPr>
                <w:rFonts w:ascii="Liberation Serif" w:hAnsi="Liberation Serif" w:cs="Times New Roman"/>
                <w:sz w:val="20"/>
                <w:szCs w:val="20"/>
              </w:rPr>
              <w:t>ниже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установленного норматива  (</w:t>
            </w:r>
            <w:r w:rsidR="000C7E43" w:rsidRPr="00E91FE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A465B9" w:rsidRPr="00E91FEE">
              <w:rPr>
                <w:rFonts w:ascii="Liberation Serif" w:hAnsi="Liberation Serif" w:cs="Times New Roman"/>
                <w:sz w:val="20"/>
                <w:szCs w:val="20"/>
              </w:rPr>
              <w:t>7,5</w:t>
            </w:r>
            <w:r w:rsidR="00D14DE1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>% ) на</w:t>
            </w:r>
            <w:r w:rsidR="00D2537B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443E61" w:rsidRPr="00E91FEE">
              <w:rPr>
                <w:rFonts w:ascii="Liberation Serif" w:hAnsi="Liberation Serif" w:cs="Times New Roman"/>
                <w:sz w:val="20"/>
                <w:szCs w:val="20"/>
              </w:rPr>
              <w:t>4,3</w:t>
            </w:r>
            <w:r w:rsidR="00D2537B" w:rsidRPr="00E91FEE">
              <w:rPr>
                <w:rFonts w:ascii="Liberation Serif" w:hAnsi="Liberation Serif" w:cs="Times New Roman"/>
                <w:sz w:val="20"/>
                <w:szCs w:val="20"/>
              </w:rPr>
              <w:t>%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в сумме</w:t>
            </w:r>
            <w:r w:rsidR="0090116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DB7606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неисполнение составило </w:t>
            </w:r>
            <w:r w:rsidR="00443E61" w:rsidRPr="00E91FE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DB7606" w:rsidRPr="00E91FEE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  <w:r w:rsidR="00443E61" w:rsidRPr="00E91FEE">
              <w:rPr>
                <w:rFonts w:ascii="Liberation Serif" w:hAnsi="Liberation Serif" w:cs="Times New Roman"/>
                <w:sz w:val="20"/>
                <w:szCs w:val="20"/>
              </w:rPr>
              <w:t> 556,2</w:t>
            </w:r>
            <w:r w:rsidR="007F6FC1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тыс. рублей </w:t>
            </w:r>
          </w:p>
          <w:p w:rsidR="000C7E43" w:rsidRPr="00E91FEE" w:rsidRDefault="000C7E4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17058" w:rsidRPr="00E91FEE" w:rsidRDefault="000C7E4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                              Исполнение бюджета в разрезе подразделов  за январь – </w:t>
            </w:r>
            <w:r w:rsidR="00A465B9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май</w:t>
            </w: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2023 года (руб.коп</w:t>
            </w:r>
            <w:r w:rsidR="00DB7606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)</w:t>
            </w:r>
          </w:p>
          <w:tbl>
            <w:tblPr>
              <w:tblW w:w="10523" w:type="dxa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67"/>
              <w:gridCol w:w="236"/>
              <w:gridCol w:w="457"/>
              <w:gridCol w:w="3211"/>
              <w:gridCol w:w="638"/>
              <w:gridCol w:w="1495"/>
              <w:gridCol w:w="1559"/>
              <w:gridCol w:w="1559"/>
              <w:gridCol w:w="850"/>
            </w:tblGrid>
            <w:tr w:rsidR="00A465B9" w:rsidRPr="00E91FEE" w:rsidTr="00E91FEE">
              <w:trPr>
                <w:gridAfter w:val="6"/>
                <w:wAfter w:w="9312" w:type="dxa"/>
                <w:trHeight w:val="319"/>
              </w:trPr>
              <w:tc>
                <w:tcPr>
                  <w:tcW w:w="12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465B9" w:rsidRPr="00E91FEE" w:rsidTr="00E91FEE">
              <w:trPr>
                <w:gridAfter w:val="6"/>
                <w:wAfter w:w="9312" w:type="dxa"/>
                <w:trHeight w:val="61"/>
              </w:trPr>
              <w:tc>
                <w:tcPr>
                  <w:tcW w:w="12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5B9" w:rsidRPr="00E91FEE" w:rsidTr="00E91FEE">
              <w:trPr>
                <w:trHeight w:val="765"/>
              </w:trPr>
              <w:tc>
                <w:tcPr>
                  <w:tcW w:w="4422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A465B9" w:rsidRPr="00E91FEE" w:rsidTr="00E91FEE">
              <w:trPr>
                <w:trHeight w:val="450"/>
              </w:trPr>
              <w:tc>
                <w:tcPr>
                  <w:tcW w:w="4422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5B9" w:rsidRPr="00E91FEE" w:rsidTr="00E91FEE">
              <w:trPr>
                <w:trHeight w:val="765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1 878 509,00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784 478,28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1 094 030,72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41,76%</w:t>
                  </w:r>
                </w:p>
              </w:tc>
            </w:tr>
            <w:tr w:rsidR="00A465B9" w:rsidRPr="00E91FEE" w:rsidTr="00E91FEE">
              <w:trPr>
                <w:trHeight w:val="922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3 564 113,00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1 331 955,20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2 232 157,80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37,37%</w:t>
                  </w:r>
                </w:p>
              </w:tc>
            </w:tr>
            <w:tr w:rsidR="00A465B9" w:rsidRPr="00E91FEE" w:rsidTr="00E91FEE">
              <w:trPr>
                <w:trHeight w:val="1275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22 558 515,00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7 761 048,76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14 797 466,24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34,40%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465B9" w:rsidRPr="00E91FEE" w:rsidTr="00E91FEE">
              <w:trPr>
                <w:trHeight w:val="66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10 776 845,00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4 402 050,12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6 374 794,88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40,85%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16 325 642,00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5 841 868,96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10 483 773,04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35,78%</w:t>
                  </w:r>
                </w:p>
              </w:tc>
            </w:tr>
            <w:tr w:rsidR="00A465B9" w:rsidRPr="00E91FEE" w:rsidTr="00E91FEE">
              <w:trPr>
                <w:trHeight w:val="34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135 273,96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201 126,04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40,21%</w:t>
                  </w:r>
                </w:p>
              </w:tc>
            </w:tr>
            <w:tr w:rsidR="00A465B9" w:rsidRPr="00E91FEE" w:rsidTr="00E91FEE">
              <w:trPr>
                <w:trHeight w:val="102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9 964 870,00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3 526 070,91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6 438 799,09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35,39%</w:t>
                  </w:r>
                </w:p>
              </w:tc>
            </w:tr>
            <w:tr w:rsidR="00A465B9" w:rsidRPr="00E91FEE" w:rsidTr="00E91FEE">
              <w:trPr>
                <w:trHeight w:val="765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39,60%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34 945 920,00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3 886 975,43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31 058 944,57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11,12%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46 824 703,00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18 994 829,16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27 829 873,84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40,57%</w:t>
                  </w:r>
                </w:p>
              </w:tc>
            </w:tr>
            <w:tr w:rsidR="00A465B9" w:rsidRPr="00E91FEE" w:rsidTr="00E91FEE">
              <w:trPr>
                <w:trHeight w:val="51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15 492 143,00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12 006 129,00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3 486 014,00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77,50%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3 914 401,00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438 559,24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3 475 841,76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11,20%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8 028 680,00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3 985 533,23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4 043 146,77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49,64%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38 503 072,00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3 248 377,15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35 254 694,85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8,44%</w:t>
                  </w:r>
                </w:p>
              </w:tc>
            </w:tr>
            <w:tr w:rsidR="00A465B9" w:rsidRPr="00E91FEE" w:rsidTr="00E91FEE">
              <w:trPr>
                <w:trHeight w:val="51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465B9" w:rsidRPr="00E91FEE" w:rsidTr="00E91FEE">
              <w:trPr>
                <w:trHeight w:val="51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6 134 800,00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6 134 800,00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23 445 105,00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11 639 553,00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11 805 552,00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49,65%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77 960 274,00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24 708 822,24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53 251 451,76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31,69%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31 883 758,60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8 451 716,23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23 432 042,37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26,51%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41 395,00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130 171,00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24,13%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15 589 292,00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5 523 944,82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10 065 347,18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35,43%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38 250 195,00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15 962 261,81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22 287 933,19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41,73%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5 899 241,00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2 424 663,95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3 474 577,05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41,10%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AC21B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902 889,50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C21BD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5 350</w:t>
                  </w:r>
                  <w:r w:rsidR="00AC21B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110,50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56,34%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45 118,00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1 374 689,00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3,18%</w:t>
                  </w:r>
                </w:p>
              </w:tc>
            </w:tr>
            <w:tr w:rsidR="00A465B9" w:rsidRPr="00E91FEE" w:rsidTr="00E91FEE">
              <w:trPr>
                <w:trHeight w:val="51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1 492 300,00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257 490,87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1 234 809,13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17,25%</w:t>
                  </w:r>
                </w:p>
              </w:tc>
            </w:tr>
            <w:tr w:rsidR="00A465B9" w:rsidRPr="00E91FEE" w:rsidTr="00E91FEE">
              <w:trPr>
                <w:trHeight w:val="30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26 466,10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425 933,90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5,85%</w:t>
                  </w:r>
                </w:p>
              </w:tc>
            </w:tr>
            <w:tr w:rsidR="00A465B9" w:rsidRPr="00E91FEE" w:rsidTr="00E91FEE">
              <w:trPr>
                <w:trHeight w:val="510"/>
              </w:trPr>
              <w:tc>
                <w:tcPr>
                  <w:tcW w:w="442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242 446,51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235 003,49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50,78%</w:t>
                  </w:r>
                </w:p>
              </w:tc>
            </w:tr>
            <w:tr w:rsidR="00A465B9" w:rsidRPr="00E91FEE" w:rsidTr="00E91FEE">
              <w:trPr>
                <w:trHeight w:val="255"/>
              </w:trPr>
              <w:tc>
                <w:tcPr>
                  <w:tcW w:w="50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429 690 901,60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C21BD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142 577</w:t>
                  </w:r>
                  <w:r w:rsidR="00AC21B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797,43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C21BD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287 113</w:t>
                  </w:r>
                  <w:r w:rsidR="00AC21B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104,17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5B9" w:rsidRPr="00E91FEE" w:rsidRDefault="00A465B9" w:rsidP="00A465B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33,18%</w:t>
                  </w:r>
                </w:p>
              </w:tc>
            </w:tr>
            <w:tr w:rsidR="00B17058" w:rsidRPr="00E91FEE" w:rsidTr="00E91FEE">
              <w:trPr>
                <w:gridAfter w:val="7"/>
                <w:wAfter w:w="9769" w:type="dxa"/>
                <w:trHeight w:val="274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E91FEE" w:rsidRDefault="00B17058" w:rsidP="00A2077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7058" w:rsidRPr="00E91FEE" w:rsidRDefault="00B17058" w:rsidP="00A80E8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A80E8E" w:rsidRPr="00E91FEE" w:rsidTr="00B17058">
              <w:trPr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E91FEE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1FEE" w:rsidRPr="00E91FEE" w:rsidRDefault="009A61C3" w:rsidP="00E91FEE">
            <w:pPr>
              <w:spacing w:after="0" w:line="240" w:lineRule="auto"/>
              <w:ind w:right="33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</w:t>
            </w:r>
          </w:p>
          <w:tbl>
            <w:tblPr>
              <w:tblW w:w="10655" w:type="dxa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1701"/>
              <w:gridCol w:w="1698"/>
              <w:gridCol w:w="1694"/>
              <w:gridCol w:w="1134"/>
            </w:tblGrid>
            <w:tr w:rsidR="00E91FEE" w:rsidRPr="00E91FEE" w:rsidTr="00E91FEE">
              <w:trPr>
                <w:trHeight w:val="319"/>
              </w:trPr>
              <w:tc>
                <w:tcPr>
                  <w:tcW w:w="95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Исполнение бюджета в разрезе бюджетополучателей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91FEE" w:rsidRPr="00E91FEE" w:rsidTr="00E91FEE">
              <w:trPr>
                <w:trHeight w:val="315"/>
              </w:trPr>
              <w:tc>
                <w:tcPr>
                  <w:tcW w:w="95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 период с 01.01.2023г. по 31.05.2023г.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91FEE" w:rsidRPr="00E91FEE" w:rsidTr="00E91FEE">
              <w:trPr>
                <w:trHeight w:val="255"/>
              </w:trPr>
              <w:tc>
                <w:tcPr>
                  <w:tcW w:w="106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E91FEE" w:rsidRPr="00E91FEE" w:rsidTr="00E91FEE">
              <w:trPr>
                <w:trHeight w:val="765"/>
              </w:trPr>
              <w:tc>
                <w:tcPr>
                  <w:tcW w:w="4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6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E91FEE" w:rsidRPr="00E91FEE" w:rsidTr="00E91FEE">
              <w:trPr>
                <w:trHeight w:val="450"/>
              </w:trPr>
              <w:tc>
                <w:tcPr>
                  <w:tcW w:w="4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FEE" w:rsidRPr="00E91FEE" w:rsidTr="00E91FEE">
              <w:trPr>
                <w:trHeight w:val="30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72 464 873,00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AC21BD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36 990</w:t>
                  </w:r>
                  <w:r w:rsidR="00AC21B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836,96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AC21BD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  <w:r w:rsidR="00AC21B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474 036,04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51,05%</w:t>
                  </w:r>
                </w:p>
              </w:tc>
            </w:tr>
            <w:tr w:rsidR="00E91FEE" w:rsidRPr="00E91FEE" w:rsidTr="00E91FEE">
              <w:trPr>
                <w:trHeight w:val="30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4 071 047,00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1 540 312,75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2 530 734,25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37,84%</w:t>
                  </w:r>
                </w:p>
              </w:tc>
            </w:tr>
            <w:tr w:rsidR="00E91FEE" w:rsidRPr="00E91FEE" w:rsidTr="00E91FEE">
              <w:trPr>
                <w:trHeight w:val="51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КСО Гаринского 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3 154 160,00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1 386 571,25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1 767 588,75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43,96%</w:t>
                  </w:r>
                </w:p>
              </w:tc>
            </w:tr>
            <w:tr w:rsidR="00E91FEE" w:rsidRPr="00E91FEE" w:rsidTr="00E91FEE">
              <w:trPr>
                <w:trHeight w:val="72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12 474 582,00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4 484 614,68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7 989 967,32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35,95%</w:t>
                  </w:r>
                </w:p>
              </w:tc>
            </w:tr>
            <w:tr w:rsidR="00E91FEE" w:rsidRPr="00E91FEE" w:rsidTr="00E91FEE">
              <w:trPr>
                <w:trHeight w:val="52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141 730 114,00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28 805 898,19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112 924 215,81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20,32%</w:t>
                  </w:r>
                </w:p>
              </w:tc>
            </w:tr>
            <w:tr w:rsidR="00E91FEE" w:rsidRPr="00E91FEE" w:rsidTr="00E91FEE">
              <w:trPr>
                <w:trHeight w:val="66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69 094 603,00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21 010 350,82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48 084 252,18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30,41%</w:t>
                  </w:r>
                </w:p>
              </w:tc>
            </w:tr>
            <w:tr w:rsidR="00E91FEE" w:rsidRPr="00E91FEE" w:rsidTr="00E91FEE">
              <w:trPr>
                <w:trHeight w:val="60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8 361 497,00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3 319 331,00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5 042 166,00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39,70%</w:t>
                  </w:r>
                </w:p>
              </w:tc>
            </w:tr>
            <w:tr w:rsidR="00E91FEE" w:rsidRPr="00E91FEE" w:rsidTr="00E91FEE">
              <w:trPr>
                <w:trHeight w:val="55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36 264 214,00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16 655 062,56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19 609 151,44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45,93%</w:t>
                  </w:r>
                </w:p>
              </w:tc>
            </w:tr>
            <w:tr w:rsidR="00E91FEE" w:rsidRPr="00E91FEE" w:rsidTr="00E91FEE">
              <w:trPr>
                <w:trHeight w:val="54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32 058 658,60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8 451 716,23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23 606 942,37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26,36%</w:t>
                  </w:r>
                </w:p>
              </w:tc>
            </w:tr>
            <w:tr w:rsidR="00E91FEE" w:rsidRPr="00E91FEE" w:rsidTr="00E91FEE">
              <w:trPr>
                <w:trHeight w:val="63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38 588 195,00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16 118 621,52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22 469 573,48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41,77%</w:t>
                  </w:r>
                </w:p>
              </w:tc>
            </w:tr>
            <w:tr w:rsidR="00E91FEE" w:rsidRPr="00E91FEE" w:rsidTr="00E91FEE">
              <w:trPr>
                <w:trHeight w:val="510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11 428 958,00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3 814 481,47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7 614 476,53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33,38%</w:t>
                  </w:r>
                </w:p>
              </w:tc>
            </w:tr>
            <w:tr w:rsidR="00E91FEE" w:rsidRPr="00E91FEE" w:rsidTr="00E91FEE">
              <w:trPr>
                <w:trHeight w:val="255"/>
              </w:trPr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429 690 901,60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E91FEE" w:rsidRPr="00E91FEE" w:rsidRDefault="00E91FEE" w:rsidP="00AC21BD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142 577</w:t>
                  </w:r>
                  <w:r w:rsidR="00AC21B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797,43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E91FEE" w:rsidRPr="00E91FEE" w:rsidRDefault="00E91FEE" w:rsidP="00AC21BD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287 113</w:t>
                  </w:r>
                  <w:r w:rsidR="00AC21B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104,17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E91FEE" w:rsidRPr="00E91FEE" w:rsidRDefault="00E91FEE" w:rsidP="00E91FEE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33,18%</w:t>
                  </w:r>
                </w:p>
              </w:tc>
            </w:tr>
          </w:tbl>
          <w:p w:rsidR="00E91FEE" w:rsidRPr="00E91FEE" w:rsidRDefault="009A61C3" w:rsidP="00E91FEE">
            <w:pPr>
              <w:spacing w:after="0" w:line="240" w:lineRule="auto"/>
              <w:ind w:right="33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</w:t>
            </w:r>
          </w:p>
          <w:p w:rsidR="00237537" w:rsidRDefault="009A61C3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F82EAC" w:rsidRPr="00E91FEE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E91FEE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427B5D" w:rsidRPr="00E91FEE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E91FEE" w:rsidRPr="00E91FEE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="00F82EAC" w:rsidRPr="00E91FEE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427B5D" w:rsidRPr="00E91FE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A80E8E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F82EAC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E91FEE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AC21BD" w:rsidRPr="00E91FEE" w:rsidRDefault="00AC21BD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E91FEE" w:rsidRDefault="00D01843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Испол</w:t>
            </w:r>
            <w:r w:rsidR="004557D6" w:rsidRPr="00E91FEE">
              <w:rPr>
                <w:rFonts w:ascii="Liberation Serif" w:hAnsi="Liberation Serif"/>
                <w:b/>
                <w:sz w:val="20"/>
                <w:szCs w:val="20"/>
              </w:rPr>
              <w:t>нение бюджета в разрезе муниципальных программ</w:t>
            </w:r>
          </w:p>
          <w:p w:rsidR="004557D6" w:rsidRPr="00E91FEE" w:rsidRDefault="004557D6" w:rsidP="004557D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за период 01.01.202</w:t>
            </w:r>
            <w:r w:rsidR="003B39DD" w:rsidRPr="00E91FEE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г-</w:t>
            </w:r>
            <w:r w:rsidR="00995CEE" w:rsidRPr="00E91FEE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E91FEE" w:rsidRPr="00E91FEE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3B39DD" w:rsidRPr="00E91FEE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 w:rsidR="00E91FEE" w:rsidRPr="00E91FEE"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.202</w:t>
            </w:r>
            <w:r w:rsidR="00427B5D" w:rsidRPr="00E91FEE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E91FEE">
              <w:rPr>
                <w:rFonts w:ascii="Liberation Serif" w:hAnsi="Liberation Serif"/>
                <w:b/>
                <w:sz w:val="20"/>
                <w:szCs w:val="20"/>
              </w:rPr>
              <w:t>г</w:t>
            </w:r>
          </w:p>
          <w:p w:rsidR="00E91FEE" w:rsidRPr="00E91FEE" w:rsidRDefault="00BC3A42" w:rsidP="00B0107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    В бюджете Гаринского городского округа по состоянию на 01.0</w:t>
            </w:r>
            <w:r w:rsidR="00E91FEE" w:rsidRPr="00E91FEE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.2023 г. утвержденные назначения бюджетных ассигнований по муниципальным программам составили в сумме </w:t>
            </w:r>
            <w:r w:rsidR="00E91FEE" w:rsidRPr="00E91FEE">
              <w:rPr>
                <w:rFonts w:ascii="Liberation Serif" w:hAnsi="Liberation Serif" w:cs="Times New Roman"/>
                <w:sz w:val="20"/>
                <w:szCs w:val="20"/>
              </w:rPr>
              <w:t>372 958,2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тыс. руб, из общей суммы объема расходов </w:t>
            </w:r>
            <w:r w:rsidR="00E91FEE" w:rsidRPr="00E91FEE">
              <w:rPr>
                <w:rFonts w:ascii="Liberation Serif" w:hAnsi="Liberation Serif" w:cs="Times New Roman"/>
                <w:sz w:val="20"/>
                <w:szCs w:val="20"/>
              </w:rPr>
              <w:t>429 690,9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тыс.руб. и составляют 8</w:t>
            </w:r>
            <w:r w:rsidR="00E91FEE" w:rsidRPr="00E91FEE">
              <w:rPr>
                <w:rFonts w:ascii="Liberation Serif" w:hAnsi="Liberation Serif" w:cs="Times New Roman"/>
                <w:sz w:val="20"/>
                <w:szCs w:val="20"/>
              </w:rPr>
              <w:t>6,8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% .</w:t>
            </w:r>
          </w:p>
          <w:p w:rsidR="00E91FEE" w:rsidRPr="00E91FEE" w:rsidRDefault="00E91FEE" w:rsidP="00B0107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</w:t>
            </w:r>
            <w:r w:rsidR="00BC3A42" w:rsidRPr="00E91FEE">
              <w:rPr>
                <w:rFonts w:ascii="Liberation Serif" w:hAnsi="Liberation Serif" w:cs="Times New Roman"/>
                <w:sz w:val="20"/>
                <w:szCs w:val="20"/>
              </w:rPr>
              <w:t>Исполнение за период январь-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>май</w:t>
            </w:r>
            <w:r w:rsidR="00BC3A42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2023 года составило в размере 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>125 284,9</w:t>
            </w:r>
            <w:r w:rsidR="00BC3A42"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тыс.руб. на </w:t>
            </w: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>33,6</w:t>
            </w:r>
            <w:r w:rsidR="00BC3A42" w:rsidRPr="00E91FEE">
              <w:rPr>
                <w:rFonts w:ascii="Liberation Serif" w:hAnsi="Liberation Serif" w:cs="Times New Roman"/>
                <w:sz w:val="20"/>
                <w:szCs w:val="20"/>
              </w:rPr>
              <w:t>%  от утвержденных назначений , в том числе в разрезе муниципальных программ:</w:t>
            </w:r>
          </w:p>
          <w:tbl>
            <w:tblPr>
              <w:tblW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</w:tblGrid>
            <w:tr w:rsidR="00DB7606" w:rsidRPr="00E91FEE" w:rsidTr="00E91FEE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E91FEE" w:rsidRDefault="00DB7606" w:rsidP="00DB760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FEE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C21BD" w:rsidRDefault="00AC21BD" w:rsidP="00532E76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AC21BD" w:rsidRPr="00AC21BD" w:rsidRDefault="00AC21BD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AC21BD" w:rsidRPr="00AC21BD" w:rsidRDefault="00AC21BD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AC21BD" w:rsidRPr="00AC21BD" w:rsidRDefault="00AC21BD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AC21BD" w:rsidRPr="00AC21BD" w:rsidRDefault="00AC21BD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AC21BD" w:rsidRDefault="004557D6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E91FEE" w:rsidRPr="00E91FEE" w:rsidTr="00E91FEE">
        <w:trPr>
          <w:gridAfter w:val="1"/>
          <w:wAfter w:w="193" w:type="dxa"/>
          <w:trHeight w:val="31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FEE" w:rsidRPr="00E91FEE" w:rsidTr="00E91FEE">
        <w:trPr>
          <w:gridAfter w:val="1"/>
          <w:wAfter w:w="193" w:type="dxa"/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за период с 01.01.2023г. по 31.05.2023г.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FEE" w:rsidRPr="00E91FEE" w:rsidTr="00E91FEE">
        <w:trPr>
          <w:gridAfter w:val="1"/>
          <w:wAfter w:w="193" w:type="dxa"/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E91FEE" w:rsidRPr="00E91FEE" w:rsidTr="00E91FEE">
        <w:trPr>
          <w:gridAfter w:val="1"/>
          <w:wAfter w:w="193" w:type="dxa"/>
          <w:trHeight w:val="450"/>
        </w:trPr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муниципальной службы в Гаринском городском округе на 2019 - 2025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5 917 241,00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2 424 663,95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3 492 577,05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40,98%</w:t>
            </w:r>
          </w:p>
        </w:tc>
      </w:tr>
      <w:tr w:rsidR="00E91FEE" w:rsidRPr="00E91FEE" w:rsidTr="00E91FEE">
        <w:trPr>
          <w:gridAfter w:val="1"/>
          <w:wAfter w:w="193" w:type="dxa"/>
          <w:trHeight w:val="127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6 529 880,00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3 208 393,23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3 321 486,77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49,13%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6 150 880,00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3 208 393,23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2 942 486,77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52,16%</w:t>
            </w:r>
          </w:p>
        </w:tc>
      </w:tr>
      <w:tr w:rsidR="00E91FEE" w:rsidRPr="00E91FEE" w:rsidTr="00E91FEE">
        <w:trPr>
          <w:gridAfter w:val="1"/>
          <w:wAfter w:w="193" w:type="dxa"/>
          <w:trHeight w:val="51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379 000,00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91FEE" w:rsidRPr="00E91FEE" w:rsidTr="00E91FEE">
        <w:trPr>
          <w:gridAfter w:val="1"/>
          <w:wAfter w:w="193" w:type="dxa"/>
          <w:trHeight w:val="127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61 109 703,00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18 994 829,16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42 114 873,84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31,08%</w:t>
            </w:r>
          </w:p>
        </w:tc>
      </w:tr>
      <w:tr w:rsidR="00E91FEE" w:rsidRPr="00E91FEE" w:rsidTr="00E91FEE">
        <w:trPr>
          <w:gridAfter w:val="1"/>
          <w:wAfter w:w="193" w:type="dxa"/>
          <w:trHeight w:val="127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2 678 960,00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1 032 841,59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1 646 118,41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38,55%</w:t>
            </w:r>
          </w:p>
        </w:tc>
      </w:tr>
      <w:tr w:rsidR="00E91FEE" w:rsidRPr="00E91FEE" w:rsidTr="00E91FEE">
        <w:trPr>
          <w:gridAfter w:val="1"/>
          <w:wAfter w:w="193" w:type="dxa"/>
          <w:trHeight w:val="127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143 170 418,00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50 331 879,29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92 838 538,71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35,16%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22 799 323,00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11 316 661,00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11 482 662,00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49,64%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78 153 674,00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24 759 005,30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53 394 668,70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31,68%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24 705 334,00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7 893 969,02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16 811 364,98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31,95%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детей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2 556 925,00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483 047,00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2 073 878,00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18,89%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2 609 695,00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1 057 882,41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1 551 812,59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40,54%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12 345 467,00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4 821 314,56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7 524 152,44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39,05%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социальной политики на территории Гаринского городского округа на 2023-2028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83 859,71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205 140,29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29,02%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социальной поддержки отдельных категорий граждан Гаринского городского округа"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67 359,71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152 640,29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30,62%</w:t>
            </w:r>
          </w:p>
        </w:tc>
      </w:tr>
      <w:tr w:rsidR="00E91FEE" w:rsidRPr="00E91FEE" w:rsidTr="00E91FEE">
        <w:trPr>
          <w:gridAfter w:val="1"/>
          <w:wAfter w:w="193" w:type="dxa"/>
          <w:trHeight w:val="51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66,67%</w:t>
            </w:r>
          </w:p>
        </w:tc>
      </w:tr>
      <w:tr w:rsidR="00E91FEE" w:rsidRPr="00E91FEE" w:rsidTr="00E91FEE">
        <w:trPr>
          <w:gridAfter w:val="1"/>
          <w:wAfter w:w="193" w:type="dxa"/>
          <w:trHeight w:val="51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10,00%</w:t>
            </w:r>
          </w:p>
        </w:tc>
      </w:tr>
      <w:tr w:rsidR="00E91FEE" w:rsidRPr="00E91FEE" w:rsidTr="00E91FEE">
        <w:trPr>
          <w:gridAfter w:val="1"/>
          <w:wAfter w:w="193" w:type="dxa"/>
          <w:trHeight w:val="127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30,00%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гармонизация межнациональных отношений"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30,43%</w:t>
            </w:r>
          </w:p>
        </w:tc>
      </w:tr>
      <w:tr w:rsidR="00E91FEE" w:rsidRPr="00E91FEE" w:rsidTr="00E91FEE">
        <w:trPr>
          <w:gridAfter w:val="1"/>
          <w:wAfter w:w="193" w:type="dxa"/>
          <w:trHeight w:val="51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38 222 195,00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15 959 561,81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22 262 633,19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41,75%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"Организация культурно-досуговой деятельности в Гаринском городском округе"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31 956 695,00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13 363 117,47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18 593 577,53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41,82%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6 265 500,00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2 596 444,34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3 669 055,66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41,44%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171 566,00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41 395,00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130 171,00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24,13%</w:t>
            </w:r>
          </w:p>
        </w:tc>
      </w:tr>
      <w:tr w:rsidR="00E91FEE" w:rsidRPr="00E91FEE" w:rsidTr="00E91FEE">
        <w:trPr>
          <w:gridAfter w:val="1"/>
          <w:wAfter w:w="193" w:type="dxa"/>
          <w:trHeight w:val="127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физической культуры и спорта, формирование здорового образа жизни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26 466,10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425 933,90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5,85%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"Управление муниципальными финансами Гаринского городского округа на 2023-2028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8 353 185,00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3 599 578,87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4 753 606,13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43,09%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"Совершенствование информационной системы управления финансами"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730 500,00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146 400,00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79,96%</w:t>
            </w:r>
          </w:p>
        </w:tc>
      </w:tr>
      <w:tr w:rsidR="00E91FEE" w:rsidRPr="00E91FEE" w:rsidTr="00E91FEE">
        <w:trPr>
          <w:gridAfter w:val="1"/>
          <w:wAfter w:w="193" w:type="dxa"/>
          <w:trHeight w:val="127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7 622 685,00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3 015 478,87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4 607 206,13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39,56%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87 159,92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156 840,08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35,72%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2023-2029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1 219 807,00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1 219 807,00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38 605 866,00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4 954 289,44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33 651 576,56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12,83%</w:t>
            </w:r>
          </w:p>
        </w:tc>
      </w:tr>
      <w:tr w:rsidR="00E91FEE" w:rsidRPr="00E91FEE" w:rsidTr="00E91FEE">
        <w:trPr>
          <w:gridAfter w:val="1"/>
          <w:wAfter w:w="193" w:type="dxa"/>
          <w:trHeight w:val="127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"Доступное и комфортное жилье- гражданам России в Гаринском городском округе на 2019-2025 годы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5 715 200,00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412 338,22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5 302 861,78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7,21%</w:t>
            </w:r>
          </w:p>
        </w:tc>
      </w:tr>
      <w:tr w:rsidR="00E91FEE" w:rsidRPr="00E91FEE" w:rsidTr="00E91FEE">
        <w:trPr>
          <w:gridAfter w:val="1"/>
          <w:wAfter w:w="193" w:type="dxa"/>
          <w:trHeight w:val="127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1 603 201,00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71 221,02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1 531 979,98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4,44%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безопасности на территории Гаринского городского округа на 2022-2027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1 618 373,00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221 739,91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1 396 633,09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13,70%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пожарной безопасности на территории Гаринского городского округа"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1 603 373,00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206 739,91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1 396 633,09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12,89%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безопасности на водных объектах на территории Гаринского городского округа"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91FEE" w:rsidRPr="00E91FEE" w:rsidTr="00E91FEE">
        <w:trPr>
          <w:gridAfter w:val="1"/>
          <w:wAfter w:w="193" w:type="dxa"/>
          <w:trHeight w:val="153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52,14%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Гаринского городского округа до 2028 года"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56 798 814,00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AC21BD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23 830 264,48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AC21BD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32 968 549,52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41,96%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"Совершенствование социально-экономической политики на территории Гаринского городского округа"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477 450,00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242 446,51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235 003,49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50,78%</w:t>
            </w:r>
          </w:p>
        </w:tc>
      </w:tr>
      <w:tr w:rsidR="00E91FEE" w:rsidRPr="00E91FEE" w:rsidTr="00E91FEE">
        <w:trPr>
          <w:gridAfter w:val="1"/>
          <w:wAfter w:w="193" w:type="dxa"/>
          <w:trHeight w:val="51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"Информационное общество Гаринского городского округа"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22 949,00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22 949,00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91FEE" w:rsidRPr="00E91FEE" w:rsidTr="00E91FEE">
        <w:trPr>
          <w:gridAfter w:val="1"/>
          <w:wAfter w:w="193" w:type="dxa"/>
          <w:trHeight w:val="51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"Социальная поддержка отдельных категорий граждан"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13 523 300,00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AC21BD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7 084 020,66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AC21BD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6 439</w:t>
            </w:r>
            <w:r w:rsidR="00AC21BD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 279,34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52,38%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"Организация похоронного дела в Гаринском городском округе"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117 675,12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89 324,88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56,85%</w:t>
            </w:r>
          </w:p>
        </w:tc>
      </w:tr>
      <w:tr w:rsidR="00E91FEE" w:rsidRPr="00E91FEE" w:rsidTr="00E91FEE">
        <w:trPr>
          <w:gridAfter w:val="1"/>
          <w:wAfter w:w="193" w:type="dxa"/>
          <w:trHeight w:val="51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"Управление муниципальным имуществом"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125 919,00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84 244,00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33,10%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Гаринского городского округа до 2028 года""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34 649 508,00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12 877 017,80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21 772 490,20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37,16%</w:t>
            </w:r>
          </w:p>
        </w:tc>
      </w:tr>
      <w:tr w:rsidR="00E91FEE" w:rsidRPr="00E91FEE" w:rsidTr="00E91FEE">
        <w:trPr>
          <w:gridAfter w:val="1"/>
          <w:wAfter w:w="193" w:type="dxa"/>
          <w:trHeight w:val="102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2 500 375,43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2 914 624,57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46,17%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первичного воинского учета, на территории где отсутствуют военные комиссариаты"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135 273,96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201 126,04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40,21%</w:t>
            </w:r>
          </w:p>
        </w:tc>
      </w:tr>
      <w:tr w:rsidR="00E91FEE" w:rsidRPr="00E91FEE" w:rsidTr="00E91FEE">
        <w:trPr>
          <w:gridAfter w:val="1"/>
          <w:wAfter w:w="193" w:type="dxa"/>
          <w:trHeight w:val="765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"Комплексное развитие сельских территорий Гаринского городского округа"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2190000000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2 041 288,00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831 780,00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1 209 508,00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40,75%</w:t>
            </w:r>
          </w:p>
        </w:tc>
      </w:tr>
      <w:tr w:rsidR="00E91FEE" w:rsidRPr="00E91FEE" w:rsidTr="00E91FEE">
        <w:trPr>
          <w:gridAfter w:val="1"/>
          <w:wAfter w:w="193" w:type="dxa"/>
          <w:trHeight w:val="52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E91FEE" w:rsidRPr="00E91FEE" w:rsidRDefault="00E91FEE" w:rsidP="00E91FEE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372 958 209,00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91FEE" w:rsidRPr="00E91FEE" w:rsidRDefault="00E91FEE" w:rsidP="00AC21BD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125 284</w:t>
            </w:r>
            <w:r w:rsidR="00AC21BD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 861,70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91FEE" w:rsidRPr="00E91FEE" w:rsidRDefault="00E91FEE" w:rsidP="00AC21BD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247 673</w:t>
            </w:r>
            <w:r w:rsidR="00AC21BD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 347,30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33,59%</w:t>
            </w:r>
          </w:p>
        </w:tc>
      </w:tr>
      <w:tr w:rsidR="00E91FEE" w:rsidRPr="00E91FEE" w:rsidTr="00E91FEE">
        <w:trPr>
          <w:gridAfter w:val="1"/>
          <w:wAfter w:w="193" w:type="dxa"/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Непрограммные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56 732 692,60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17 292 935,73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39 439 756,87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30,48%</w:t>
            </w:r>
          </w:p>
        </w:tc>
      </w:tr>
      <w:tr w:rsidR="00E91FEE" w:rsidRPr="00E91FEE" w:rsidTr="00E91FEE">
        <w:trPr>
          <w:gridAfter w:val="1"/>
          <w:wAfter w:w="193" w:type="dxa"/>
          <w:trHeight w:val="25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FEE" w:rsidRPr="00E91FEE" w:rsidRDefault="00E91FEE" w:rsidP="00E91FEE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429 690 901,60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AC21BD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142 577</w:t>
            </w:r>
            <w:r w:rsidR="00AC21B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 797,43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AC21BD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287 113 </w:t>
            </w:r>
            <w:r w:rsidR="00AC21B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C21B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FEE" w:rsidRPr="00E91FEE" w:rsidRDefault="00E91FEE" w:rsidP="00E91FEE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EE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33,18%</w:t>
            </w:r>
          </w:p>
        </w:tc>
      </w:tr>
    </w:tbl>
    <w:p w:rsidR="00F97E10" w:rsidRPr="00E91FEE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E91FEE" w:rsidSect="00AC21BD">
      <w:footerReference w:type="default" r:id="rId8"/>
      <w:pgSz w:w="11906" w:h="16838"/>
      <w:pgMar w:top="709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12" w:rsidRDefault="00C10412" w:rsidP="00A01D62">
      <w:pPr>
        <w:spacing w:after="0" w:line="240" w:lineRule="auto"/>
      </w:pPr>
      <w:r>
        <w:separator/>
      </w:r>
    </w:p>
  </w:endnote>
  <w:endnote w:type="continuationSeparator" w:id="0">
    <w:p w:rsidR="00C10412" w:rsidRDefault="00C10412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9107"/>
      <w:docPartObj>
        <w:docPartGallery w:val="Page Numbers (Bottom of Page)"/>
        <w:docPartUnique/>
      </w:docPartObj>
    </w:sdtPr>
    <w:sdtContent>
      <w:p w:rsidR="00AC21BD" w:rsidRDefault="00AC21BD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C10412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AC21BD" w:rsidRDefault="00AC21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12" w:rsidRDefault="00C10412" w:rsidP="00A01D62">
      <w:pPr>
        <w:spacing w:after="0" w:line="240" w:lineRule="auto"/>
      </w:pPr>
      <w:r>
        <w:separator/>
      </w:r>
    </w:p>
  </w:footnote>
  <w:footnote w:type="continuationSeparator" w:id="0">
    <w:p w:rsidR="00C10412" w:rsidRDefault="00C10412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37B0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C7E43"/>
    <w:rsid w:val="000D4A12"/>
    <w:rsid w:val="00107771"/>
    <w:rsid w:val="001252CA"/>
    <w:rsid w:val="00127F10"/>
    <w:rsid w:val="00143BEC"/>
    <w:rsid w:val="00144FC2"/>
    <w:rsid w:val="0015051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43E61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4F7933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6D6E"/>
    <w:rsid w:val="005B016A"/>
    <w:rsid w:val="005C37E4"/>
    <w:rsid w:val="005E05BA"/>
    <w:rsid w:val="00624EFC"/>
    <w:rsid w:val="006362D8"/>
    <w:rsid w:val="00661D7A"/>
    <w:rsid w:val="00663880"/>
    <w:rsid w:val="006640F1"/>
    <w:rsid w:val="006758B3"/>
    <w:rsid w:val="00676237"/>
    <w:rsid w:val="00690964"/>
    <w:rsid w:val="006948B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603BF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0F4"/>
    <w:rsid w:val="00904D41"/>
    <w:rsid w:val="00912E1A"/>
    <w:rsid w:val="00915607"/>
    <w:rsid w:val="0091774C"/>
    <w:rsid w:val="009267E1"/>
    <w:rsid w:val="00956A9B"/>
    <w:rsid w:val="00956AF1"/>
    <w:rsid w:val="009745BE"/>
    <w:rsid w:val="0098610F"/>
    <w:rsid w:val="00995CEE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3CAB"/>
    <w:rsid w:val="00A465B9"/>
    <w:rsid w:val="00A66965"/>
    <w:rsid w:val="00A70D4C"/>
    <w:rsid w:val="00A80E8E"/>
    <w:rsid w:val="00A81C1B"/>
    <w:rsid w:val="00A823E7"/>
    <w:rsid w:val="00AA1A75"/>
    <w:rsid w:val="00AA7F79"/>
    <w:rsid w:val="00AB0118"/>
    <w:rsid w:val="00AC21BD"/>
    <w:rsid w:val="00AC7146"/>
    <w:rsid w:val="00AD4FFC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26D5C"/>
    <w:rsid w:val="00B33574"/>
    <w:rsid w:val="00B523BD"/>
    <w:rsid w:val="00B63D6D"/>
    <w:rsid w:val="00B6596B"/>
    <w:rsid w:val="00BB4342"/>
    <w:rsid w:val="00BB685C"/>
    <w:rsid w:val="00BC3A42"/>
    <w:rsid w:val="00BE7EC1"/>
    <w:rsid w:val="00C10412"/>
    <w:rsid w:val="00C166D6"/>
    <w:rsid w:val="00C41EDD"/>
    <w:rsid w:val="00C42168"/>
    <w:rsid w:val="00C5389E"/>
    <w:rsid w:val="00C60823"/>
    <w:rsid w:val="00C7234D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B1344"/>
    <w:rsid w:val="00DB287C"/>
    <w:rsid w:val="00DB7606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91FEE"/>
    <w:rsid w:val="00EA2EBE"/>
    <w:rsid w:val="00ED17E4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D551-0344-4205-B908-20ECDD9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3CF4-0ABA-4319-8122-F3058695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Исполнение </vt:lpstr>
      <vt:lpstr>бюджета Гаринского городского округа по состоянию на 01.06.2023 года </vt:lpstr>
    </vt:vector>
  </TitlesOfParts>
  <Company/>
  <LinksUpToDate>false</LinksUpToDate>
  <CharactersWithSpaces>22669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2023-06-08T10:18:00Z</cp:lastPrinted>
  <dcterms:created xsi:type="dcterms:W3CDTF">2023-03-03T03:40:00Z</dcterms:created>
  <dcterms:modified xsi:type="dcterms:W3CDTF">2023-06-08T10:22:00Z</dcterms:modified>
</cp:coreProperties>
</file>