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18A" w:rsidRDefault="00F97716">
      <w:pPr>
        <w:ind w:firstLine="540"/>
        <w:jc w:val="both"/>
        <w:rPr>
          <w:sz w:val="24"/>
        </w:rPr>
      </w:pPr>
      <w:r>
        <w:rPr>
          <w:sz w:val="24"/>
        </w:rPr>
        <w:t xml:space="preserve"> </w:t>
      </w:r>
    </w:p>
    <w:p w:rsidR="00F8518A" w:rsidRDefault="00F8518A">
      <w:pPr>
        <w:jc w:val="both"/>
        <w:rPr>
          <w:sz w:val="24"/>
        </w:rPr>
      </w:pPr>
    </w:p>
    <w:tbl>
      <w:tblPr>
        <w:tblW w:w="0" w:type="auto"/>
        <w:tblInd w:w="89" w:type="dxa"/>
        <w:tblCellMar>
          <w:left w:w="89" w:type="dxa"/>
          <w:right w:w="89" w:type="dxa"/>
        </w:tblCellMar>
        <w:tblLook w:val="04A0" w:firstRow="1" w:lastRow="0" w:firstColumn="1" w:lastColumn="0" w:noHBand="0" w:noVBand="1"/>
      </w:tblPr>
      <w:tblGrid>
        <w:gridCol w:w="909"/>
        <w:gridCol w:w="505"/>
        <w:gridCol w:w="404"/>
        <w:gridCol w:w="2322"/>
        <w:gridCol w:w="1077"/>
        <w:gridCol w:w="4564"/>
      </w:tblGrid>
      <w:tr w:rsidR="00F8518A">
        <w:trPr>
          <w:trHeight w:hRule="exact" w:val="2341"/>
        </w:trPr>
        <w:tc>
          <w:tcPr>
            <w:tcW w:w="4140" w:type="dxa"/>
            <w:gridSpan w:val="4"/>
            <w:tcMar>
              <w:left w:w="89" w:type="dxa"/>
              <w:right w:w="89" w:type="dxa"/>
            </w:tcMar>
          </w:tcPr>
          <w:p w:rsidR="00F8518A" w:rsidRDefault="00F8518A">
            <w:pPr>
              <w:contextualSpacing/>
              <w:jc w:val="center"/>
              <w:rPr>
                <w:b/>
              </w:rPr>
            </w:pPr>
          </w:p>
        </w:tc>
        <w:tc>
          <w:tcPr>
            <w:tcW w:w="1077" w:type="dxa"/>
            <w:vMerge w:val="restart"/>
            <w:tcMar>
              <w:left w:w="89" w:type="dxa"/>
              <w:right w:w="89" w:type="dxa"/>
            </w:tcMar>
          </w:tcPr>
          <w:p w:rsidR="00F8518A" w:rsidRDefault="00F8518A">
            <w:pPr>
              <w:contextualSpacing/>
            </w:pPr>
          </w:p>
          <w:p w:rsidR="00F8518A" w:rsidRDefault="00F8518A">
            <w:pPr>
              <w:contextualSpacing/>
            </w:pPr>
          </w:p>
          <w:p w:rsidR="00F8518A" w:rsidRDefault="00F8518A">
            <w:pPr>
              <w:contextualSpacing/>
            </w:pPr>
          </w:p>
          <w:p w:rsidR="00F8518A" w:rsidRDefault="00F8518A">
            <w:pPr>
              <w:contextualSpacing/>
            </w:pPr>
          </w:p>
        </w:tc>
        <w:tc>
          <w:tcPr>
            <w:tcW w:w="4564" w:type="dxa"/>
            <w:vMerge w:val="restart"/>
            <w:tcMar>
              <w:left w:w="89" w:type="dxa"/>
              <w:right w:w="89" w:type="dxa"/>
            </w:tcMar>
          </w:tcPr>
          <w:p w:rsidR="00F8518A" w:rsidRDefault="00F8518A">
            <w:pPr>
              <w:pStyle w:val="af0"/>
              <w:contextualSpacing/>
              <w:jc w:val="center"/>
              <w:rPr>
                <w:sz w:val="28"/>
              </w:rPr>
            </w:pPr>
          </w:p>
          <w:p w:rsidR="00F8518A" w:rsidRDefault="00F97716">
            <w:pPr>
              <w:contextualSpacing/>
              <w:jc w:val="both"/>
            </w:pPr>
            <w:r>
              <w:t xml:space="preserve">Администрация  </w:t>
            </w:r>
            <w:proofErr w:type="spellStart"/>
            <w:r>
              <w:t>Гаринского</w:t>
            </w:r>
            <w:proofErr w:type="spellEnd"/>
            <w:r>
              <w:t xml:space="preserve"> городского округа</w:t>
            </w:r>
          </w:p>
          <w:p w:rsidR="00F8518A" w:rsidRDefault="00F8518A">
            <w:pPr>
              <w:contextualSpacing/>
              <w:jc w:val="both"/>
            </w:pPr>
          </w:p>
          <w:p w:rsidR="00F8518A" w:rsidRDefault="00F97716">
            <w:pPr>
              <w:contextualSpacing/>
              <w:jc w:val="both"/>
            </w:pPr>
            <w:r>
              <w:t xml:space="preserve">Главе </w:t>
            </w:r>
            <w:proofErr w:type="spellStart"/>
            <w:r>
              <w:t>Гаринского</w:t>
            </w:r>
            <w:proofErr w:type="spellEnd"/>
            <w:r>
              <w:t xml:space="preserve"> городского округа </w:t>
            </w:r>
            <w:proofErr w:type="spellStart"/>
            <w:r>
              <w:t>С.Е.Величко</w:t>
            </w:r>
            <w:proofErr w:type="spellEnd"/>
          </w:p>
          <w:p w:rsidR="00F8518A" w:rsidRDefault="00F8518A">
            <w:pPr>
              <w:contextualSpacing/>
              <w:jc w:val="both"/>
            </w:pPr>
          </w:p>
          <w:p w:rsidR="00F8518A" w:rsidRDefault="00F161DE">
            <w:pPr>
              <w:jc w:val="both"/>
            </w:pPr>
            <w:hyperlink r:id="rId6" w:history="1">
              <w:r w:rsidR="00F97716">
                <w:rPr>
                  <w:rStyle w:val="15"/>
                </w:rPr>
                <w:t>natabusi@mail.ru</w:t>
              </w:r>
            </w:hyperlink>
          </w:p>
          <w:p w:rsidR="00F8518A" w:rsidRDefault="00F8518A">
            <w:pPr>
              <w:jc w:val="both"/>
            </w:pPr>
          </w:p>
          <w:p w:rsidR="00F8518A" w:rsidRDefault="00F8518A">
            <w:pPr>
              <w:jc w:val="both"/>
            </w:pPr>
          </w:p>
          <w:p w:rsidR="00F8518A" w:rsidRDefault="00F8518A">
            <w:pPr>
              <w:jc w:val="both"/>
            </w:pPr>
          </w:p>
          <w:p w:rsidR="00F8518A" w:rsidRDefault="00F8518A">
            <w:pPr>
              <w:jc w:val="both"/>
            </w:pPr>
          </w:p>
          <w:p w:rsidR="00F8518A" w:rsidRDefault="00F8518A">
            <w:pPr>
              <w:jc w:val="both"/>
            </w:pPr>
          </w:p>
          <w:p w:rsidR="00F8518A" w:rsidRDefault="00F8518A">
            <w:pPr>
              <w:contextualSpacing/>
              <w:jc w:val="both"/>
            </w:pPr>
          </w:p>
        </w:tc>
      </w:tr>
      <w:tr w:rsidR="00F8518A">
        <w:trPr>
          <w:trHeight w:hRule="exact" w:val="397"/>
        </w:trPr>
        <w:tc>
          <w:tcPr>
            <w:tcW w:w="1414" w:type="dxa"/>
            <w:gridSpan w:val="2"/>
            <w:tcMar>
              <w:left w:w="89" w:type="dxa"/>
              <w:right w:w="89" w:type="dxa"/>
            </w:tcMar>
            <w:vAlign w:val="bottom"/>
          </w:tcPr>
          <w:p w:rsidR="00F8518A" w:rsidRDefault="00F8518A">
            <w:pPr>
              <w:contextualSpacing/>
            </w:pPr>
          </w:p>
        </w:tc>
        <w:tc>
          <w:tcPr>
            <w:tcW w:w="404" w:type="dxa"/>
            <w:tcMar>
              <w:left w:w="89" w:type="dxa"/>
              <w:right w:w="89" w:type="dxa"/>
            </w:tcMar>
            <w:vAlign w:val="bottom"/>
          </w:tcPr>
          <w:p w:rsidR="00F8518A" w:rsidRDefault="00F8518A">
            <w:pPr>
              <w:contextualSpacing/>
            </w:pPr>
          </w:p>
        </w:tc>
        <w:tc>
          <w:tcPr>
            <w:tcW w:w="2322" w:type="dxa"/>
            <w:tcMar>
              <w:left w:w="89" w:type="dxa"/>
              <w:right w:w="89" w:type="dxa"/>
            </w:tcMar>
            <w:vAlign w:val="bottom"/>
          </w:tcPr>
          <w:p w:rsidR="00F8518A" w:rsidRDefault="00F8518A">
            <w:pPr>
              <w:contextualSpacing/>
            </w:pPr>
          </w:p>
        </w:tc>
        <w:tc>
          <w:tcPr>
            <w:tcW w:w="1077" w:type="dxa"/>
            <w:vMerge/>
            <w:tcMar>
              <w:left w:w="89" w:type="dxa"/>
              <w:right w:w="89" w:type="dxa"/>
            </w:tcMar>
          </w:tcPr>
          <w:p w:rsidR="00F8518A" w:rsidRDefault="00F8518A"/>
        </w:tc>
        <w:tc>
          <w:tcPr>
            <w:tcW w:w="4564" w:type="dxa"/>
            <w:vMerge/>
            <w:tcMar>
              <w:left w:w="89" w:type="dxa"/>
              <w:right w:w="89" w:type="dxa"/>
            </w:tcMar>
          </w:tcPr>
          <w:p w:rsidR="00F8518A" w:rsidRDefault="00F8518A"/>
        </w:tc>
      </w:tr>
      <w:tr w:rsidR="00F8518A">
        <w:trPr>
          <w:trHeight w:hRule="exact" w:val="227"/>
        </w:trPr>
        <w:tc>
          <w:tcPr>
            <w:tcW w:w="1414" w:type="dxa"/>
            <w:gridSpan w:val="2"/>
            <w:tcMar>
              <w:left w:w="89" w:type="dxa"/>
              <w:right w:w="89" w:type="dxa"/>
            </w:tcMar>
            <w:vAlign w:val="bottom"/>
          </w:tcPr>
          <w:p w:rsidR="00F8518A" w:rsidRDefault="00F8518A">
            <w:pPr>
              <w:contextualSpacing/>
              <w:jc w:val="center"/>
            </w:pPr>
          </w:p>
        </w:tc>
        <w:tc>
          <w:tcPr>
            <w:tcW w:w="404" w:type="dxa"/>
            <w:tcMar>
              <w:left w:w="89" w:type="dxa"/>
              <w:right w:w="89" w:type="dxa"/>
            </w:tcMar>
            <w:vAlign w:val="bottom"/>
          </w:tcPr>
          <w:p w:rsidR="00F8518A" w:rsidRDefault="00F8518A">
            <w:pPr>
              <w:contextualSpacing/>
              <w:jc w:val="center"/>
            </w:pPr>
          </w:p>
        </w:tc>
        <w:tc>
          <w:tcPr>
            <w:tcW w:w="2322" w:type="dxa"/>
            <w:tcMar>
              <w:left w:w="89" w:type="dxa"/>
              <w:right w:w="89" w:type="dxa"/>
            </w:tcMar>
            <w:vAlign w:val="bottom"/>
          </w:tcPr>
          <w:p w:rsidR="00F8518A" w:rsidRDefault="00F8518A">
            <w:pPr>
              <w:contextualSpacing/>
              <w:jc w:val="center"/>
            </w:pPr>
          </w:p>
        </w:tc>
        <w:tc>
          <w:tcPr>
            <w:tcW w:w="1077" w:type="dxa"/>
            <w:vMerge/>
            <w:tcMar>
              <w:left w:w="89" w:type="dxa"/>
              <w:right w:w="89" w:type="dxa"/>
            </w:tcMar>
          </w:tcPr>
          <w:p w:rsidR="00F8518A" w:rsidRDefault="00F8518A"/>
        </w:tc>
        <w:tc>
          <w:tcPr>
            <w:tcW w:w="4564" w:type="dxa"/>
            <w:vMerge/>
            <w:tcMar>
              <w:left w:w="89" w:type="dxa"/>
              <w:right w:w="89" w:type="dxa"/>
            </w:tcMar>
          </w:tcPr>
          <w:p w:rsidR="00F8518A" w:rsidRDefault="00F8518A"/>
        </w:tc>
      </w:tr>
      <w:tr w:rsidR="00F8518A">
        <w:trPr>
          <w:trHeight w:hRule="exact" w:val="397"/>
        </w:trPr>
        <w:tc>
          <w:tcPr>
            <w:tcW w:w="909" w:type="dxa"/>
            <w:tcMar>
              <w:left w:w="89" w:type="dxa"/>
              <w:right w:w="89" w:type="dxa"/>
            </w:tcMar>
            <w:vAlign w:val="bottom"/>
          </w:tcPr>
          <w:p w:rsidR="00F8518A" w:rsidRDefault="00F8518A">
            <w:pPr>
              <w:contextualSpacing/>
            </w:pPr>
          </w:p>
        </w:tc>
        <w:tc>
          <w:tcPr>
            <w:tcW w:w="3231" w:type="dxa"/>
            <w:gridSpan w:val="3"/>
            <w:tcMar>
              <w:left w:w="89" w:type="dxa"/>
              <w:right w:w="89" w:type="dxa"/>
            </w:tcMar>
            <w:vAlign w:val="bottom"/>
          </w:tcPr>
          <w:p w:rsidR="00F8518A" w:rsidRDefault="00F8518A">
            <w:pPr>
              <w:contextualSpacing/>
            </w:pPr>
          </w:p>
        </w:tc>
        <w:tc>
          <w:tcPr>
            <w:tcW w:w="1077" w:type="dxa"/>
            <w:vMerge/>
            <w:tcMar>
              <w:left w:w="89" w:type="dxa"/>
              <w:right w:w="89" w:type="dxa"/>
            </w:tcMar>
          </w:tcPr>
          <w:p w:rsidR="00F8518A" w:rsidRDefault="00F8518A"/>
        </w:tc>
        <w:tc>
          <w:tcPr>
            <w:tcW w:w="4564" w:type="dxa"/>
            <w:vMerge/>
            <w:tcMar>
              <w:left w:w="89" w:type="dxa"/>
              <w:right w:w="89" w:type="dxa"/>
            </w:tcMar>
          </w:tcPr>
          <w:p w:rsidR="00F8518A" w:rsidRDefault="00F8518A"/>
        </w:tc>
      </w:tr>
      <w:tr w:rsidR="00F8518A">
        <w:trPr>
          <w:trHeight w:hRule="exact" w:val="227"/>
        </w:trPr>
        <w:tc>
          <w:tcPr>
            <w:tcW w:w="909" w:type="dxa"/>
            <w:tcMar>
              <w:left w:w="89" w:type="dxa"/>
              <w:right w:w="89" w:type="dxa"/>
            </w:tcMar>
            <w:vAlign w:val="bottom"/>
          </w:tcPr>
          <w:p w:rsidR="00F8518A" w:rsidRDefault="00F8518A">
            <w:pPr>
              <w:contextualSpacing/>
              <w:jc w:val="center"/>
              <w:rPr>
                <w:b/>
              </w:rPr>
            </w:pPr>
          </w:p>
        </w:tc>
        <w:tc>
          <w:tcPr>
            <w:tcW w:w="3231" w:type="dxa"/>
            <w:gridSpan w:val="3"/>
            <w:tcMar>
              <w:left w:w="89" w:type="dxa"/>
              <w:right w:w="89" w:type="dxa"/>
            </w:tcMar>
            <w:vAlign w:val="bottom"/>
          </w:tcPr>
          <w:p w:rsidR="00F8518A" w:rsidRDefault="00F8518A">
            <w:pPr>
              <w:contextualSpacing/>
              <w:jc w:val="center"/>
              <w:rPr>
                <w:b/>
              </w:rPr>
            </w:pPr>
          </w:p>
          <w:p w:rsidR="00F8518A" w:rsidRDefault="00F8518A">
            <w:pPr>
              <w:contextualSpacing/>
              <w:jc w:val="center"/>
              <w:rPr>
                <w:b/>
              </w:rPr>
            </w:pPr>
          </w:p>
          <w:p w:rsidR="00F8518A" w:rsidRDefault="00F8518A">
            <w:pPr>
              <w:contextualSpacing/>
              <w:jc w:val="center"/>
              <w:rPr>
                <w:b/>
              </w:rPr>
            </w:pPr>
          </w:p>
          <w:p w:rsidR="00F8518A" w:rsidRDefault="00F8518A">
            <w:pPr>
              <w:contextualSpacing/>
              <w:jc w:val="center"/>
              <w:rPr>
                <w:b/>
              </w:rPr>
            </w:pPr>
          </w:p>
        </w:tc>
        <w:tc>
          <w:tcPr>
            <w:tcW w:w="1077" w:type="dxa"/>
            <w:vMerge/>
            <w:tcMar>
              <w:left w:w="89" w:type="dxa"/>
              <w:right w:w="89" w:type="dxa"/>
            </w:tcMar>
          </w:tcPr>
          <w:p w:rsidR="00F8518A" w:rsidRDefault="00F8518A"/>
        </w:tc>
        <w:tc>
          <w:tcPr>
            <w:tcW w:w="4564" w:type="dxa"/>
            <w:vMerge/>
            <w:tcMar>
              <w:left w:w="89" w:type="dxa"/>
              <w:right w:w="89" w:type="dxa"/>
            </w:tcMar>
          </w:tcPr>
          <w:p w:rsidR="00F8518A" w:rsidRDefault="00F8518A"/>
        </w:tc>
      </w:tr>
      <w:tr w:rsidR="00F8518A">
        <w:trPr>
          <w:trHeight w:hRule="exact" w:val="495"/>
        </w:trPr>
        <w:tc>
          <w:tcPr>
            <w:tcW w:w="4140" w:type="dxa"/>
            <w:gridSpan w:val="4"/>
            <w:tcMar>
              <w:left w:w="89" w:type="dxa"/>
              <w:right w:w="89" w:type="dxa"/>
            </w:tcMar>
          </w:tcPr>
          <w:p w:rsidR="00F8518A" w:rsidRDefault="00F8518A">
            <w:pPr>
              <w:contextualSpacing/>
              <w:jc w:val="both"/>
            </w:pPr>
          </w:p>
        </w:tc>
        <w:tc>
          <w:tcPr>
            <w:tcW w:w="1077" w:type="dxa"/>
            <w:vMerge/>
            <w:tcMar>
              <w:left w:w="89" w:type="dxa"/>
              <w:right w:w="89" w:type="dxa"/>
            </w:tcMar>
          </w:tcPr>
          <w:p w:rsidR="00F8518A" w:rsidRDefault="00F8518A"/>
        </w:tc>
        <w:tc>
          <w:tcPr>
            <w:tcW w:w="4564" w:type="dxa"/>
            <w:vMerge/>
            <w:tcMar>
              <w:left w:w="89" w:type="dxa"/>
              <w:right w:w="89" w:type="dxa"/>
            </w:tcMar>
          </w:tcPr>
          <w:p w:rsidR="00F8518A" w:rsidRDefault="00F8518A"/>
        </w:tc>
      </w:tr>
    </w:tbl>
    <w:p w:rsidR="00F8518A" w:rsidRDefault="00F8518A">
      <w:pPr>
        <w:contextualSpacing/>
        <w:jc w:val="center"/>
      </w:pPr>
    </w:p>
    <w:p w:rsidR="00F8518A" w:rsidRDefault="00F97716">
      <w:pPr>
        <w:contextualSpacing/>
        <w:jc w:val="center"/>
      </w:pPr>
      <w:r>
        <w:t>Уважаемый Сергей Евгеньевич!</w:t>
      </w:r>
    </w:p>
    <w:p w:rsidR="00F8518A" w:rsidRDefault="00F8518A">
      <w:pPr>
        <w:ind w:firstLine="709"/>
        <w:contextualSpacing/>
        <w:jc w:val="center"/>
        <w:rPr>
          <w:b/>
        </w:rPr>
      </w:pPr>
    </w:p>
    <w:p w:rsidR="00F8518A" w:rsidRDefault="00F97716">
      <w:pPr>
        <w:pStyle w:val="ConsPlusNormal"/>
        <w:ind w:firstLine="540"/>
        <w:jc w:val="both"/>
        <w:rPr>
          <w:rFonts w:ascii="Times New Roman" w:hAnsi="Times New Roman"/>
          <w:sz w:val="28"/>
        </w:rPr>
      </w:pPr>
      <w:proofErr w:type="gramStart"/>
      <w:r>
        <w:rPr>
          <w:rFonts w:ascii="Times New Roman" w:hAnsi="Times New Roman"/>
          <w:sz w:val="28"/>
        </w:rPr>
        <w:t>Межрайонная</w:t>
      </w:r>
      <w:proofErr w:type="gramEnd"/>
      <w:r>
        <w:rPr>
          <w:rFonts w:ascii="Times New Roman" w:hAnsi="Times New Roman"/>
          <w:sz w:val="28"/>
        </w:rPr>
        <w:t xml:space="preserve"> ИФНС России № 26 по Свердловской области для информирования налогоплательщиков  просит разместить следующую информацию:</w:t>
      </w:r>
    </w:p>
    <w:p w:rsidR="00F8518A" w:rsidRDefault="00F8518A">
      <w:pPr>
        <w:jc w:val="center"/>
        <w:rPr>
          <w:b/>
          <w:sz w:val="24"/>
        </w:rPr>
      </w:pPr>
    </w:p>
    <w:p w:rsidR="00F161DE" w:rsidRPr="00F161DE" w:rsidRDefault="00F161DE" w:rsidP="00F161DE">
      <w:pPr>
        <w:spacing w:after="300"/>
        <w:jc w:val="center"/>
        <w:outlineLvl w:val="0"/>
        <w:rPr>
          <w:b/>
          <w:color w:val="000000" w:themeColor="text1"/>
          <w:kern w:val="36"/>
          <w:szCs w:val="28"/>
        </w:rPr>
      </w:pPr>
      <w:r w:rsidRPr="00F161DE">
        <w:rPr>
          <w:b/>
          <w:szCs w:val="28"/>
        </w:rPr>
        <w:t xml:space="preserve">Тема: </w:t>
      </w:r>
      <w:r w:rsidRPr="00F161DE">
        <w:rPr>
          <w:b/>
          <w:color w:val="000000" w:themeColor="text1"/>
          <w:kern w:val="36"/>
          <w:szCs w:val="28"/>
        </w:rPr>
        <w:t>Почему так важно уплатить имущественный налог вовремя?</w:t>
      </w:r>
    </w:p>
    <w:p w:rsidR="00F161DE" w:rsidRPr="00F161DE" w:rsidRDefault="00F161DE" w:rsidP="00F161DE">
      <w:pPr>
        <w:shd w:val="clear" w:color="auto" w:fill="FFFFFF"/>
        <w:spacing w:after="300"/>
        <w:ind w:firstLine="709"/>
        <w:contextualSpacing/>
        <w:jc w:val="both"/>
        <w:rPr>
          <w:color w:val="000000" w:themeColor="text1"/>
          <w:szCs w:val="28"/>
        </w:rPr>
      </w:pPr>
      <w:proofErr w:type="gramStart"/>
      <w:r w:rsidRPr="00F161DE">
        <w:rPr>
          <w:color w:val="000000" w:themeColor="text1"/>
          <w:szCs w:val="28"/>
        </w:rPr>
        <w:t>Межрайонная</w:t>
      </w:r>
      <w:proofErr w:type="gramEnd"/>
      <w:r w:rsidRPr="00F161DE">
        <w:rPr>
          <w:color w:val="000000" w:themeColor="text1"/>
          <w:szCs w:val="28"/>
        </w:rPr>
        <w:t xml:space="preserve"> ИФНС России № 26 по Свердловской области информирует, что в 2020 году налогоплательщики обязаны за 2019 год уплатить имущественные налоги (транспортный, земельный, налог на имущество физических лиц) не позднее 1 декабря. В случае если после этого срока налог так и не будет уплачен, налогоплательщику в первый же день просрочки начислят пеню.</w:t>
      </w:r>
    </w:p>
    <w:p w:rsidR="00F161DE" w:rsidRPr="00F161DE" w:rsidRDefault="00F161DE" w:rsidP="00F161DE">
      <w:pPr>
        <w:shd w:val="clear" w:color="auto" w:fill="FFFFFF"/>
        <w:spacing w:after="300"/>
        <w:ind w:firstLine="709"/>
        <w:contextualSpacing/>
        <w:jc w:val="both"/>
        <w:rPr>
          <w:color w:val="000000" w:themeColor="text1"/>
          <w:szCs w:val="28"/>
        </w:rPr>
      </w:pPr>
      <w:r w:rsidRPr="00F161DE">
        <w:rPr>
          <w:color w:val="000000" w:themeColor="text1"/>
          <w:szCs w:val="28"/>
        </w:rPr>
        <w:t>Не более</w:t>
      </w:r>
      <w:proofErr w:type="gramStart"/>
      <w:r w:rsidRPr="00F161DE">
        <w:rPr>
          <w:color w:val="000000" w:themeColor="text1"/>
          <w:szCs w:val="28"/>
        </w:rPr>
        <w:t>,</w:t>
      </w:r>
      <w:proofErr w:type="gramEnd"/>
      <w:r w:rsidRPr="00F161DE">
        <w:rPr>
          <w:color w:val="000000" w:themeColor="text1"/>
          <w:szCs w:val="28"/>
        </w:rPr>
        <w:t xml:space="preserve"> чем за три предшествующих года, налоговый орган вправе направить физическому лицу уведомление об уплате имущественных налогов. В случае</w:t>
      </w:r>
      <w:proofErr w:type="gramStart"/>
      <w:r w:rsidRPr="00F161DE">
        <w:rPr>
          <w:color w:val="000000" w:themeColor="text1"/>
          <w:szCs w:val="28"/>
        </w:rPr>
        <w:t>,</w:t>
      </w:r>
      <w:proofErr w:type="gramEnd"/>
      <w:r w:rsidRPr="00F161DE">
        <w:rPr>
          <w:color w:val="000000" w:themeColor="text1"/>
          <w:szCs w:val="28"/>
        </w:rPr>
        <w:t xml:space="preserve"> если налогоплательщик не уплатил налог, либо сделал это позже, он может столкнуться с:</w:t>
      </w:r>
    </w:p>
    <w:p w:rsidR="00F161DE" w:rsidRPr="00F161DE" w:rsidRDefault="00F161DE" w:rsidP="00F161DE">
      <w:pPr>
        <w:numPr>
          <w:ilvl w:val="0"/>
          <w:numId w:val="2"/>
        </w:numPr>
        <w:shd w:val="clear" w:color="auto" w:fill="FFFFFF"/>
        <w:spacing w:after="150"/>
        <w:ind w:left="-225" w:firstLine="709"/>
        <w:contextualSpacing/>
        <w:jc w:val="both"/>
        <w:rPr>
          <w:color w:val="000000" w:themeColor="text1"/>
          <w:szCs w:val="28"/>
        </w:rPr>
      </w:pPr>
      <w:r w:rsidRPr="00F161DE">
        <w:rPr>
          <w:color w:val="000000" w:themeColor="text1"/>
          <w:szCs w:val="28"/>
        </w:rPr>
        <w:t>начислением пеней из расчета суммы неуплаченного налога, умноженного на количество дней просрочки и на 1/300 ставки рефинансирования Банка России. Период просрочки исчисляется со следующего дня после установленной даты уплаты налога по день фактической его уплаты включительно. При этом сумма пеней не может превышать размер недоимки.</w:t>
      </w:r>
    </w:p>
    <w:p w:rsidR="00F161DE" w:rsidRPr="00F161DE" w:rsidRDefault="00F161DE" w:rsidP="00F161DE">
      <w:pPr>
        <w:numPr>
          <w:ilvl w:val="0"/>
          <w:numId w:val="2"/>
        </w:numPr>
        <w:shd w:val="clear" w:color="auto" w:fill="FFFFFF"/>
        <w:spacing w:after="150"/>
        <w:ind w:left="-225" w:firstLine="709"/>
        <w:contextualSpacing/>
        <w:jc w:val="both"/>
        <w:rPr>
          <w:color w:val="000000" w:themeColor="text1"/>
          <w:szCs w:val="28"/>
        </w:rPr>
      </w:pPr>
      <w:proofErr w:type="gramStart"/>
      <w:r w:rsidRPr="00F161DE">
        <w:rPr>
          <w:color w:val="000000" w:themeColor="text1"/>
          <w:szCs w:val="28"/>
        </w:rPr>
        <w:t>в</w:t>
      </w:r>
      <w:proofErr w:type="gramEnd"/>
      <w:r w:rsidRPr="00F161DE">
        <w:rPr>
          <w:color w:val="000000" w:themeColor="text1"/>
          <w:szCs w:val="28"/>
        </w:rPr>
        <w:t>зысканием задолженности по налогу (недоимки), а также пеней через суд.</w:t>
      </w:r>
    </w:p>
    <w:p w:rsidR="00F161DE" w:rsidRPr="00F161DE" w:rsidRDefault="00F161DE" w:rsidP="00F161DE">
      <w:pPr>
        <w:shd w:val="clear" w:color="auto" w:fill="FFFFFF"/>
        <w:spacing w:after="300"/>
        <w:ind w:firstLine="709"/>
        <w:contextualSpacing/>
        <w:jc w:val="both"/>
        <w:rPr>
          <w:color w:val="000000" w:themeColor="text1"/>
          <w:szCs w:val="28"/>
        </w:rPr>
      </w:pPr>
      <w:r w:rsidRPr="00F161DE">
        <w:rPr>
          <w:color w:val="000000" w:themeColor="text1"/>
          <w:szCs w:val="28"/>
        </w:rPr>
        <w:t>Если налог не уплачен в срок, налоговая инспекция, согласно пункту 1 статьи 45 и пункту 2 статьи 69 НК РФ, направит требование об уплате недоимки по налогу и пеней, где будет указана сумма задолженности, размер пеней на момент направления требования, срок исполнения требования. Указанные в документе суммы должны быть уплачены налогоплательщиком в течение восьми рабочих дней со дня получения требования, если в нём не указан более продолжительный срок. А в случае направления документа заказным письмом, оно считается полученным в течение шести рабочих дней.</w:t>
      </w:r>
    </w:p>
    <w:p w:rsidR="00F161DE" w:rsidRPr="00F161DE" w:rsidRDefault="00F161DE" w:rsidP="00F161DE">
      <w:pPr>
        <w:shd w:val="clear" w:color="auto" w:fill="FFFFFF"/>
        <w:spacing w:after="300"/>
        <w:ind w:firstLine="709"/>
        <w:contextualSpacing/>
        <w:jc w:val="both"/>
        <w:rPr>
          <w:color w:val="000000" w:themeColor="text1"/>
          <w:szCs w:val="28"/>
        </w:rPr>
      </w:pPr>
      <w:r w:rsidRPr="00F161DE">
        <w:rPr>
          <w:color w:val="000000" w:themeColor="text1"/>
          <w:szCs w:val="28"/>
        </w:rPr>
        <w:lastRenderedPageBreak/>
        <w:t>После того, как налогоплательщик получил требование, но не исполнил его в срок, налоговый орган может подать в суд для взыскания задолженности за счёт имущества физического лица, в том числе денежных средств на счетах в банке. Если в течение трех лет со дня истечения срока исполнения самого раннего требования сумма задолженности превысила 3 000 рублей, то налоговый орган обращается в суд с заявлением в течение шести месяцев со дня превышения задолженности. Но если сумма долга не превысила 3000 рублей, то в таком случае налоговый орган обращается в суд с заявлением в течение шести месяцев со дня истечения указанного трехлетнего срока.</w:t>
      </w:r>
    </w:p>
    <w:p w:rsidR="00F161DE" w:rsidRPr="00F161DE" w:rsidRDefault="00F161DE" w:rsidP="00F161DE">
      <w:pPr>
        <w:shd w:val="clear" w:color="auto" w:fill="FFFFFF"/>
        <w:spacing w:after="100"/>
        <w:ind w:firstLine="709"/>
        <w:contextualSpacing/>
        <w:jc w:val="both"/>
        <w:rPr>
          <w:rFonts w:asciiTheme="minorHAnsi" w:eastAsiaTheme="minorHAnsi" w:hAnsiTheme="minorHAnsi" w:cstheme="minorBidi"/>
          <w:color w:val="auto"/>
          <w:szCs w:val="28"/>
          <w:lang w:eastAsia="en-US"/>
        </w:rPr>
      </w:pPr>
      <w:r w:rsidRPr="00F161DE">
        <w:rPr>
          <w:color w:val="000000" w:themeColor="text1"/>
          <w:szCs w:val="28"/>
        </w:rPr>
        <w:t>Отметим, уплатить налог на имущество физических лиц налогоплательщик может при помощи сервиса ФНС России – </w:t>
      </w:r>
      <w:hyperlink r:id="rId7" w:tgtFrame="_blank" w:history="1">
        <w:r w:rsidRPr="00F161DE">
          <w:rPr>
            <w:rStyle w:val="af"/>
            <w:color w:val="000000" w:themeColor="text1"/>
            <w:szCs w:val="28"/>
          </w:rPr>
          <w:t>Личного кабинета налогоплательщика</w:t>
        </w:r>
      </w:hyperlink>
      <w:r w:rsidRPr="00F161DE">
        <w:rPr>
          <w:color w:val="000000" w:themeColor="text1"/>
          <w:szCs w:val="28"/>
        </w:rPr>
        <w:t>. Стать пользователем </w:t>
      </w:r>
      <w:hyperlink r:id="rId8" w:tgtFrame="_blank" w:history="1">
        <w:r w:rsidRPr="00F161DE">
          <w:rPr>
            <w:rStyle w:val="af"/>
            <w:color w:val="000000" w:themeColor="text1"/>
            <w:szCs w:val="28"/>
          </w:rPr>
          <w:t>Личного кабинета</w:t>
        </w:r>
      </w:hyperlink>
      <w:r w:rsidRPr="00F161DE">
        <w:rPr>
          <w:color w:val="000000" w:themeColor="text1"/>
          <w:szCs w:val="28"/>
        </w:rPr>
        <w:t> можно, обратившись в налоговый орган по месту жительства, либо зарегистрировавшись при помощи </w:t>
      </w:r>
      <w:hyperlink r:id="rId9" w:tgtFrame="_blank" w:history="1">
        <w:r w:rsidRPr="00F161DE">
          <w:rPr>
            <w:rStyle w:val="af"/>
            <w:color w:val="000000" w:themeColor="text1"/>
            <w:szCs w:val="28"/>
          </w:rPr>
          <w:t xml:space="preserve">портала </w:t>
        </w:r>
        <w:proofErr w:type="spellStart"/>
        <w:r w:rsidRPr="00F161DE">
          <w:rPr>
            <w:rStyle w:val="af"/>
            <w:color w:val="000000" w:themeColor="text1"/>
            <w:szCs w:val="28"/>
          </w:rPr>
          <w:t>Госуслуг</w:t>
        </w:r>
        <w:proofErr w:type="spellEnd"/>
      </w:hyperlink>
      <w:r w:rsidRPr="00F161DE">
        <w:rPr>
          <w:color w:val="000000" w:themeColor="text1"/>
          <w:szCs w:val="28"/>
        </w:rPr>
        <w:t>.</w:t>
      </w:r>
    </w:p>
    <w:p w:rsidR="00D01D7F" w:rsidRPr="00D01D7F" w:rsidRDefault="00D01D7F" w:rsidP="008D6C7C">
      <w:pPr>
        <w:spacing w:before="100" w:beforeAutospacing="1" w:after="100" w:afterAutospacing="1"/>
        <w:ind w:firstLine="709"/>
        <w:contextualSpacing/>
        <w:jc w:val="both"/>
        <w:outlineLvl w:val="0"/>
        <w:rPr>
          <w:szCs w:val="28"/>
        </w:rPr>
      </w:pPr>
    </w:p>
    <w:p w:rsidR="00F8518A" w:rsidRDefault="00F8518A" w:rsidP="00271B66">
      <w:pPr>
        <w:spacing w:before="100" w:beforeAutospacing="1" w:after="300"/>
        <w:ind w:firstLine="709"/>
        <w:contextualSpacing/>
        <w:jc w:val="center"/>
        <w:outlineLvl w:val="0"/>
        <w:rPr>
          <w:szCs w:val="28"/>
          <w:lang w:val="en-US"/>
        </w:rPr>
      </w:pPr>
    </w:p>
    <w:p w:rsidR="00F161DE" w:rsidRPr="00F161DE" w:rsidRDefault="00F161DE" w:rsidP="00271B66">
      <w:pPr>
        <w:spacing w:before="100" w:beforeAutospacing="1" w:after="300"/>
        <w:ind w:firstLine="709"/>
        <w:contextualSpacing/>
        <w:jc w:val="center"/>
        <w:outlineLvl w:val="0"/>
        <w:rPr>
          <w:szCs w:val="28"/>
          <w:lang w:val="en-US"/>
        </w:rPr>
      </w:pPr>
      <w:bookmarkStart w:id="0" w:name="_GoBack"/>
      <w:bookmarkEnd w:id="0"/>
    </w:p>
    <w:p w:rsidR="00F8518A" w:rsidRDefault="00F97716">
      <w:pPr>
        <w:jc w:val="both"/>
      </w:pPr>
      <w:r>
        <w:t>Заместитель начальника,</w:t>
      </w:r>
    </w:p>
    <w:p w:rsidR="00F8518A" w:rsidRDefault="00F97716">
      <w:pPr>
        <w:jc w:val="both"/>
      </w:pPr>
      <w:r>
        <w:t xml:space="preserve">Советник государственной гражданской службы </w:t>
      </w:r>
    </w:p>
    <w:p w:rsidR="00F8518A" w:rsidRDefault="00F97716">
      <w:pPr>
        <w:jc w:val="both"/>
      </w:pPr>
      <w:r>
        <w:t xml:space="preserve">Российской Федерации 1 класса                                                                </w:t>
      </w:r>
      <w:proofErr w:type="spellStart"/>
      <w:r>
        <w:t>А.А.Гринько</w:t>
      </w:r>
      <w:proofErr w:type="spellEnd"/>
    </w:p>
    <w:p w:rsidR="00F8518A" w:rsidRPr="00FD5571" w:rsidRDefault="00F8518A">
      <w:pPr>
        <w:ind w:left="-360" w:firstLine="360"/>
        <w:rPr>
          <w:sz w:val="18"/>
        </w:rPr>
      </w:pPr>
    </w:p>
    <w:p w:rsidR="0028786E" w:rsidRPr="00FD5571" w:rsidRDefault="0028786E">
      <w:pPr>
        <w:ind w:left="-360" w:firstLine="360"/>
        <w:rPr>
          <w:sz w:val="18"/>
        </w:rPr>
      </w:pPr>
    </w:p>
    <w:p w:rsidR="0028786E" w:rsidRPr="00FD5571" w:rsidRDefault="0028786E">
      <w:pPr>
        <w:ind w:left="-360" w:firstLine="360"/>
        <w:rPr>
          <w:sz w:val="18"/>
        </w:rPr>
      </w:pPr>
    </w:p>
    <w:p w:rsidR="0028786E" w:rsidRPr="00FD5571" w:rsidRDefault="0028786E">
      <w:pPr>
        <w:ind w:left="-360" w:firstLine="360"/>
        <w:rPr>
          <w:sz w:val="18"/>
        </w:rPr>
      </w:pPr>
    </w:p>
    <w:p w:rsidR="00F8518A" w:rsidRDefault="00F97716">
      <w:pPr>
        <w:ind w:left="-360" w:firstLine="360"/>
        <w:rPr>
          <w:b/>
          <w:sz w:val="24"/>
        </w:rPr>
      </w:pPr>
      <w:r>
        <w:rPr>
          <w:sz w:val="18"/>
        </w:rPr>
        <w:t>Козлова Оксана Леонидовна, 34385-99015</w:t>
      </w:r>
    </w:p>
    <w:sectPr w:rsidR="00F8518A">
      <w:pgSz w:w="11906" w:h="16838"/>
      <w:pgMar w:top="284" w:right="567" w:bottom="1134"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XO Thames">
    <w:panose1 w:val="02020603050405020304"/>
    <w:charset w:val="CC"/>
    <w:family w:val="roman"/>
    <w:pitch w:val="variable"/>
    <w:sig w:usb0="800002FF" w:usb1="0000084A" w:usb2="00000000" w:usb3="00000000" w:csb0="00000015"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01D8D"/>
    <w:multiLevelType w:val="multilevel"/>
    <w:tmpl w:val="E32EF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22E4C36"/>
    <w:multiLevelType w:val="multilevel"/>
    <w:tmpl w:val="03BED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F8518A"/>
    <w:rsid w:val="002517DD"/>
    <w:rsid w:val="00271B66"/>
    <w:rsid w:val="0028786E"/>
    <w:rsid w:val="002B4FF2"/>
    <w:rsid w:val="00375D2C"/>
    <w:rsid w:val="00500292"/>
    <w:rsid w:val="005E7457"/>
    <w:rsid w:val="008D6C7C"/>
    <w:rsid w:val="00922456"/>
    <w:rsid w:val="00CF47BF"/>
    <w:rsid w:val="00D01D7F"/>
    <w:rsid w:val="00E232C6"/>
    <w:rsid w:val="00F161DE"/>
    <w:rsid w:val="00F8518A"/>
    <w:rsid w:val="00F97716"/>
    <w:rsid w:val="00FD5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8"/>
    </w:rPr>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spacing w:before="240" w:after="60"/>
      <w:outlineLvl w:val="1"/>
    </w:pPr>
    <w:rPr>
      <w:rFonts w:ascii="Arial" w:hAnsi="Arial"/>
      <w:b/>
      <w:i/>
    </w:rPr>
  </w:style>
  <w:style w:type="paragraph" w:styleId="3">
    <w:name w:val="heading 3"/>
    <w:next w:val="a"/>
    <w:link w:val="30"/>
    <w:uiPriority w:val="9"/>
    <w:qFormat/>
    <w:pPr>
      <w:outlineLvl w:val="2"/>
    </w:pPr>
    <w:rPr>
      <w:rFonts w:ascii="XO Thames" w:hAnsi="XO Thames"/>
      <w:b/>
      <w:i/>
    </w:rPr>
  </w:style>
  <w:style w:type="paragraph" w:styleId="4">
    <w:name w:val="heading 4"/>
    <w:basedOn w:val="a"/>
    <w:next w:val="a"/>
    <w:link w:val="40"/>
    <w:uiPriority w:val="9"/>
    <w:qFormat/>
    <w:pPr>
      <w:keepNext/>
      <w:jc w:val="center"/>
      <w:outlineLvl w:val="3"/>
    </w:pPr>
    <w:rPr>
      <w:b/>
      <w:sz w:val="1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8"/>
    </w:rPr>
  </w:style>
  <w:style w:type="paragraph" w:styleId="21">
    <w:name w:val="toc 2"/>
    <w:next w:val="a"/>
    <w:link w:val="22"/>
    <w:uiPriority w:val="39"/>
    <w:pPr>
      <w:ind w:left="200"/>
    </w:pPr>
  </w:style>
  <w:style w:type="character" w:customStyle="1" w:styleId="22">
    <w:name w:val="Оглавление 2 Знак"/>
    <w:link w:val="21"/>
  </w:style>
  <w:style w:type="paragraph" w:styleId="a3">
    <w:name w:val="Body Text"/>
    <w:basedOn w:val="a"/>
    <w:link w:val="a4"/>
    <w:pPr>
      <w:spacing w:after="120"/>
    </w:pPr>
  </w:style>
  <w:style w:type="character" w:customStyle="1" w:styleId="a4">
    <w:name w:val="Основной текст Знак"/>
    <w:basedOn w:val="1"/>
    <w:link w:val="a3"/>
    <w:rPr>
      <w:sz w:val="28"/>
    </w:rPr>
  </w:style>
  <w:style w:type="paragraph" w:styleId="41">
    <w:name w:val="toc 4"/>
    <w:next w:val="a"/>
    <w:link w:val="42"/>
    <w:uiPriority w:val="39"/>
    <w:pPr>
      <w:ind w:left="600"/>
    </w:pPr>
  </w:style>
  <w:style w:type="character" w:customStyle="1" w:styleId="42">
    <w:name w:val="Оглавление 4 Знак"/>
    <w:link w:val="41"/>
  </w:style>
  <w:style w:type="paragraph" w:customStyle="1" w:styleId="any-ifns">
    <w:name w:val="any-ifns"/>
    <w:basedOn w:val="12"/>
    <w:link w:val="any-ifns0"/>
  </w:style>
  <w:style w:type="character" w:customStyle="1" w:styleId="any-ifns0">
    <w:name w:val="any-ifns"/>
    <w:basedOn w:val="13"/>
    <w:link w:val="any-ifns"/>
  </w:style>
  <w:style w:type="paragraph" w:styleId="6">
    <w:name w:val="toc 6"/>
    <w:next w:val="a"/>
    <w:link w:val="60"/>
    <w:uiPriority w:val="39"/>
    <w:pPr>
      <w:ind w:left="1000"/>
    </w:pPr>
  </w:style>
  <w:style w:type="character" w:customStyle="1" w:styleId="60">
    <w:name w:val="Оглавление 6 Знак"/>
    <w:link w:val="6"/>
  </w:style>
  <w:style w:type="paragraph" w:customStyle="1" w:styleId="14">
    <w:name w:val="Гиперссылка1"/>
    <w:link w:val="15"/>
    <w:rPr>
      <w:color w:val="0000FF"/>
      <w:u w:val="single"/>
    </w:rPr>
  </w:style>
  <w:style w:type="character" w:customStyle="1" w:styleId="15">
    <w:name w:val="Гиперссылка1"/>
    <w:link w:val="14"/>
    <w:rPr>
      <w:color w:val="0000FF"/>
      <w:u w:val="single"/>
    </w:rPr>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totop1">
    <w:name w:val="to_top1"/>
    <w:basedOn w:val="a"/>
    <w:link w:val="totop10"/>
    <w:rPr>
      <w:color w:val="0B6EB3"/>
      <w:sz w:val="24"/>
    </w:rPr>
  </w:style>
  <w:style w:type="character" w:customStyle="1" w:styleId="totop10">
    <w:name w:val="to_top1"/>
    <w:basedOn w:val="1"/>
    <w:link w:val="totop1"/>
    <w:rPr>
      <w:color w:val="0B6EB3"/>
      <w:sz w:val="24"/>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character" w:customStyle="1" w:styleId="30">
    <w:name w:val="Заголовок 3 Знак"/>
    <w:link w:val="3"/>
    <w:rPr>
      <w:rFonts w:ascii="XO Thames" w:hAnsi="XO Thames"/>
      <w:b/>
      <w:i/>
    </w:rPr>
  </w:style>
  <w:style w:type="paragraph" w:customStyle="1" w:styleId="p4">
    <w:name w:val="p4"/>
    <w:basedOn w:val="a"/>
    <w:link w:val="p40"/>
    <w:pPr>
      <w:spacing w:beforeAutospacing="1" w:afterAutospacing="1"/>
    </w:pPr>
    <w:rPr>
      <w:sz w:val="24"/>
    </w:rPr>
  </w:style>
  <w:style w:type="character" w:customStyle="1" w:styleId="p40">
    <w:name w:val="p4"/>
    <w:basedOn w:val="1"/>
    <w:link w:val="p4"/>
    <w:rPr>
      <w:sz w:val="24"/>
    </w:rPr>
  </w:style>
  <w:style w:type="paragraph" w:customStyle="1" w:styleId="FontStyle19">
    <w:name w:val="Font Style19"/>
    <w:link w:val="FontStyle190"/>
    <w:rPr>
      <w:sz w:val="26"/>
    </w:rPr>
  </w:style>
  <w:style w:type="character" w:customStyle="1" w:styleId="FontStyle190">
    <w:name w:val="Font Style19"/>
    <w:link w:val="FontStyle19"/>
    <w:rPr>
      <w:sz w:val="26"/>
    </w:rPr>
  </w:style>
  <w:style w:type="paragraph" w:customStyle="1" w:styleId="Default">
    <w:name w:val="Default"/>
    <w:link w:val="Default0"/>
    <w:rPr>
      <w:sz w:val="24"/>
    </w:rPr>
  </w:style>
  <w:style w:type="character" w:customStyle="1" w:styleId="Default0">
    <w:name w:val="Default"/>
    <w:link w:val="Default"/>
    <w:rPr>
      <w:sz w:val="24"/>
    </w:rPr>
  </w:style>
  <w:style w:type="paragraph" w:styleId="a5">
    <w:name w:val="List Paragraph"/>
    <w:basedOn w:val="a"/>
    <w:link w:val="a6"/>
    <w:pPr>
      <w:spacing w:after="200" w:line="276" w:lineRule="auto"/>
      <w:ind w:left="720"/>
      <w:contextualSpacing/>
    </w:pPr>
    <w:rPr>
      <w:rFonts w:ascii="Calibri" w:hAnsi="Calibri"/>
      <w:sz w:val="22"/>
    </w:rPr>
  </w:style>
  <w:style w:type="character" w:customStyle="1" w:styleId="a6">
    <w:name w:val="Абзац списка Знак"/>
    <w:basedOn w:val="1"/>
    <w:link w:val="a5"/>
    <w:rPr>
      <w:rFonts w:ascii="Calibri" w:hAnsi="Calibri"/>
      <w:sz w:val="22"/>
    </w:rPr>
  </w:style>
  <w:style w:type="paragraph" w:customStyle="1" w:styleId="a7">
    <w:name w:val="Знак Знак Знак Знак"/>
    <w:basedOn w:val="a"/>
    <w:link w:val="a8"/>
    <w:pPr>
      <w:spacing w:after="160" w:line="240" w:lineRule="exact"/>
    </w:pPr>
    <w:rPr>
      <w:rFonts w:ascii="Verdana" w:hAnsi="Verdana"/>
      <w:sz w:val="24"/>
    </w:rPr>
  </w:style>
  <w:style w:type="character" w:customStyle="1" w:styleId="a8">
    <w:name w:val="Знак Знак Знак Знак"/>
    <w:basedOn w:val="1"/>
    <w:link w:val="a7"/>
    <w:rPr>
      <w:rFonts w:ascii="Verdana" w:hAnsi="Verdana"/>
      <w:sz w:val="24"/>
    </w:rPr>
  </w:style>
  <w:style w:type="paragraph" w:styleId="a9">
    <w:name w:val="Normal (Web)"/>
    <w:basedOn w:val="a"/>
    <w:link w:val="aa"/>
    <w:uiPriority w:val="99"/>
    <w:pPr>
      <w:spacing w:beforeAutospacing="1" w:afterAutospacing="1"/>
    </w:pPr>
    <w:rPr>
      <w:sz w:val="24"/>
    </w:rPr>
  </w:style>
  <w:style w:type="character" w:customStyle="1" w:styleId="aa">
    <w:name w:val="Обычный (веб) Знак"/>
    <w:basedOn w:val="1"/>
    <w:link w:val="a9"/>
    <w:rPr>
      <w:sz w:val="24"/>
    </w:rPr>
  </w:style>
  <w:style w:type="paragraph" w:customStyle="1" w:styleId="apple-converted-space">
    <w:name w:val="apple-converted-space"/>
    <w:basedOn w:val="12"/>
    <w:link w:val="apple-converted-space0"/>
  </w:style>
  <w:style w:type="character" w:customStyle="1" w:styleId="apple-converted-space0">
    <w:name w:val="apple-converted-space"/>
    <w:basedOn w:val="13"/>
    <w:link w:val="apple-converted-space"/>
  </w:style>
  <w:style w:type="paragraph" w:styleId="ab">
    <w:name w:val="caption"/>
    <w:basedOn w:val="a"/>
    <w:next w:val="a"/>
    <w:link w:val="ac"/>
    <w:pPr>
      <w:spacing w:before="120" w:after="240"/>
      <w:jc w:val="center"/>
    </w:pPr>
    <w:rPr>
      <w:b/>
      <w:sz w:val="24"/>
    </w:rPr>
  </w:style>
  <w:style w:type="character" w:customStyle="1" w:styleId="ac">
    <w:name w:val="Название объекта Знак"/>
    <w:basedOn w:val="1"/>
    <w:link w:val="ab"/>
    <w:rPr>
      <w:b/>
      <w:sz w:val="24"/>
    </w:rPr>
  </w:style>
  <w:style w:type="paragraph" w:styleId="31">
    <w:name w:val="Body Text Indent 3"/>
    <w:basedOn w:val="a"/>
    <w:link w:val="32"/>
    <w:pPr>
      <w:ind w:left="-426" w:firstLine="786"/>
      <w:jc w:val="both"/>
    </w:pPr>
    <w:rPr>
      <w:sz w:val="24"/>
    </w:rPr>
  </w:style>
  <w:style w:type="character" w:customStyle="1" w:styleId="32">
    <w:name w:val="Основной текст с отступом 3 Знак"/>
    <w:basedOn w:val="1"/>
    <w:link w:val="31"/>
    <w:rPr>
      <w:sz w:val="24"/>
    </w:rPr>
  </w:style>
  <w:style w:type="paragraph" w:styleId="ad">
    <w:name w:val="Balloon Text"/>
    <w:basedOn w:val="a"/>
    <w:link w:val="ae"/>
    <w:rPr>
      <w:rFonts w:ascii="Tahoma" w:hAnsi="Tahoma"/>
      <w:sz w:val="16"/>
    </w:rPr>
  </w:style>
  <w:style w:type="character" w:customStyle="1" w:styleId="ae">
    <w:name w:val="Текст выноски Знак"/>
    <w:basedOn w:val="1"/>
    <w:link w:val="ad"/>
    <w:rPr>
      <w:rFonts w:ascii="Tahoma" w:hAnsi="Tahoma"/>
      <w:sz w:val="16"/>
    </w:rPr>
  </w:style>
  <w:style w:type="paragraph" w:styleId="33">
    <w:name w:val="toc 3"/>
    <w:next w:val="a"/>
    <w:link w:val="34"/>
    <w:uiPriority w:val="39"/>
    <w:pPr>
      <w:ind w:left="400"/>
    </w:pPr>
  </w:style>
  <w:style w:type="character" w:customStyle="1" w:styleId="34">
    <w:name w:val="Оглавление 3 Знак"/>
    <w:link w:val="33"/>
  </w:style>
  <w:style w:type="paragraph" w:customStyle="1" w:styleId="16">
    <w:name w:val="Знак сноски1"/>
    <w:link w:val="17"/>
    <w:rPr>
      <w:vertAlign w:val="superscript"/>
    </w:rPr>
  </w:style>
  <w:style w:type="character" w:customStyle="1" w:styleId="17">
    <w:name w:val="Знак сноски1"/>
    <w:link w:val="16"/>
    <w:rPr>
      <w:vertAlign w:val="superscript"/>
    </w:rPr>
  </w:style>
  <w:style w:type="paragraph" w:customStyle="1" w:styleId="p1">
    <w:name w:val="p1"/>
    <w:basedOn w:val="a"/>
    <w:link w:val="p10"/>
    <w:pPr>
      <w:spacing w:beforeAutospacing="1" w:afterAutospacing="1"/>
    </w:pPr>
    <w:rPr>
      <w:sz w:val="24"/>
    </w:rPr>
  </w:style>
  <w:style w:type="character" w:customStyle="1" w:styleId="p10">
    <w:name w:val="p1"/>
    <w:basedOn w:val="1"/>
    <w:link w:val="p1"/>
    <w:rPr>
      <w:sz w:val="24"/>
    </w:rPr>
  </w:style>
  <w:style w:type="character" w:customStyle="1" w:styleId="50">
    <w:name w:val="Заголовок 5 Знак"/>
    <w:link w:val="5"/>
    <w:rPr>
      <w:rFonts w:ascii="XO Thames" w:hAnsi="XO Thames"/>
      <w:b/>
      <w:sz w:val="22"/>
    </w:rPr>
  </w:style>
  <w:style w:type="paragraph" w:customStyle="1" w:styleId="bigger21">
    <w:name w:val="bigger21"/>
    <w:basedOn w:val="a"/>
    <w:link w:val="bigger210"/>
    <w:pPr>
      <w:spacing w:before="195" w:after="195" w:line="312" w:lineRule="atLeast"/>
    </w:pPr>
    <w:rPr>
      <w:sz w:val="31"/>
    </w:rPr>
  </w:style>
  <w:style w:type="character" w:customStyle="1" w:styleId="bigger210">
    <w:name w:val="bigger21"/>
    <w:basedOn w:val="1"/>
    <w:link w:val="bigger21"/>
    <w:rPr>
      <w:sz w:val="31"/>
    </w:rPr>
  </w:style>
  <w:style w:type="character" w:customStyle="1" w:styleId="11">
    <w:name w:val="Заголовок 1 Знак"/>
    <w:basedOn w:val="1"/>
    <w:link w:val="10"/>
    <w:rPr>
      <w:rFonts w:ascii="Cambria" w:hAnsi="Cambria"/>
      <w:b/>
      <w:sz w:val="32"/>
    </w:rPr>
  </w:style>
  <w:style w:type="paragraph" w:customStyle="1" w:styleId="A70">
    <w:name w:val="A7"/>
    <w:link w:val="A71"/>
    <w:rPr>
      <w:rFonts w:ascii="Minion Pro" w:hAnsi="Minion Pro"/>
      <w:i/>
      <w:sz w:val="16"/>
    </w:rPr>
  </w:style>
  <w:style w:type="character" w:customStyle="1" w:styleId="A71">
    <w:name w:val="A7"/>
    <w:link w:val="A70"/>
    <w:rPr>
      <w:rFonts w:ascii="Minion Pro" w:hAnsi="Minion Pro"/>
      <w:i/>
      <w:sz w:val="16"/>
    </w:rPr>
  </w:style>
  <w:style w:type="paragraph" w:customStyle="1" w:styleId="18">
    <w:name w:val="Выделение1"/>
    <w:link w:val="19"/>
    <w:rPr>
      <w:i/>
    </w:rPr>
  </w:style>
  <w:style w:type="character" w:customStyle="1" w:styleId="19">
    <w:name w:val="Выделение1"/>
    <w:link w:val="18"/>
    <w:rPr>
      <w:i/>
    </w:rPr>
  </w:style>
  <w:style w:type="paragraph" w:customStyle="1" w:styleId="23">
    <w:name w:val="Гиперссылка2"/>
    <w:link w:val="af"/>
    <w:uiPriority w:val="99"/>
    <w:rPr>
      <w:color w:val="0000FF"/>
      <w:u w:val="single"/>
    </w:rPr>
  </w:style>
  <w:style w:type="character" w:styleId="af">
    <w:name w:val="Hyperlink"/>
    <w:link w:val="23"/>
    <w:uiPriority w:val="99"/>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paragraph" w:styleId="1a">
    <w:name w:val="toc 1"/>
    <w:next w:val="a"/>
    <w:link w:val="1b"/>
    <w:uiPriority w:val="39"/>
    <w:rPr>
      <w:rFonts w:ascii="XO Thames" w:hAnsi="XO Thames"/>
      <w:b/>
    </w:rPr>
  </w:style>
  <w:style w:type="character" w:customStyle="1" w:styleId="1b">
    <w:name w:val="Оглавление 1 Знак"/>
    <w:link w:val="1a"/>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rPr>
  </w:style>
  <w:style w:type="paragraph" w:styleId="af0">
    <w:name w:val="header"/>
    <w:basedOn w:val="a"/>
    <w:link w:val="af1"/>
    <w:pPr>
      <w:tabs>
        <w:tab w:val="center" w:pos="4153"/>
        <w:tab w:val="right" w:pos="8306"/>
      </w:tabs>
    </w:pPr>
    <w:rPr>
      <w:sz w:val="24"/>
    </w:rPr>
  </w:style>
  <w:style w:type="character" w:customStyle="1" w:styleId="af1">
    <w:name w:val="Верхний колонтитул Знак"/>
    <w:basedOn w:val="1"/>
    <w:link w:val="af0"/>
    <w:rPr>
      <w:sz w:val="24"/>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phone">
    <w:name w:val="phone"/>
    <w:link w:val="phone0"/>
  </w:style>
  <w:style w:type="character" w:customStyle="1" w:styleId="phone0">
    <w:name w:val="phone"/>
    <w:link w:val="phone"/>
  </w:style>
  <w:style w:type="paragraph" w:customStyle="1" w:styleId="1c">
    <w:name w:val="Обычный1"/>
    <w:link w:val="1d"/>
    <w:rPr>
      <w:sz w:val="28"/>
    </w:rPr>
  </w:style>
  <w:style w:type="character" w:customStyle="1" w:styleId="1d">
    <w:name w:val="Обычный1"/>
    <w:link w:val="1c"/>
    <w:rPr>
      <w:sz w:val="28"/>
    </w:rPr>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1e">
    <w:name w:val="Основной шрифт абзаца1"/>
  </w:style>
  <w:style w:type="paragraph" w:styleId="af2">
    <w:name w:val="Subtitle"/>
    <w:next w:val="a"/>
    <w:link w:val="af3"/>
    <w:uiPriority w:val="11"/>
    <w:qFormat/>
    <w:rPr>
      <w:rFonts w:ascii="XO Thames" w:hAnsi="XO Thames"/>
      <w:i/>
      <w:color w:val="616161"/>
      <w:sz w:val="24"/>
    </w:rPr>
  </w:style>
  <w:style w:type="character" w:customStyle="1" w:styleId="af3">
    <w:name w:val="Подзаголовок Знак"/>
    <w:link w:val="af2"/>
    <w:rPr>
      <w:rFonts w:ascii="XO Thames" w:hAnsi="XO Thames"/>
      <w:i/>
      <w:color w:val="616161"/>
      <w:sz w:val="24"/>
    </w:rPr>
  </w:style>
  <w:style w:type="paragraph" w:customStyle="1" w:styleId="A50">
    <w:name w:val="A5"/>
    <w:link w:val="A51"/>
    <w:rPr>
      <w:rFonts w:ascii="Minion Pro" w:hAnsi="Minion Pro"/>
      <w:b/>
      <w:sz w:val="27"/>
    </w:rPr>
  </w:style>
  <w:style w:type="character" w:customStyle="1" w:styleId="A51">
    <w:name w:val="A5"/>
    <w:link w:val="A50"/>
    <w:rPr>
      <w:rFonts w:ascii="Minion Pro" w:hAnsi="Minion Pro"/>
      <w:b/>
      <w:sz w:val="27"/>
    </w:rPr>
  </w:style>
  <w:style w:type="paragraph" w:customStyle="1" w:styleId="Pa6">
    <w:name w:val="Pa6"/>
    <w:basedOn w:val="Default"/>
    <w:next w:val="Default"/>
    <w:link w:val="Pa60"/>
    <w:pPr>
      <w:spacing w:line="241" w:lineRule="atLeast"/>
    </w:pPr>
    <w:rPr>
      <w:rFonts w:ascii="Minion Pro" w:hAnsi="Minion Pro"/>
    </w:rPr>
  </w:style>
  <w:style w:type="character" w:customStyle="1" w:styleId="Pa60">
    <w:name w:val="Pa6"/>
    <w:basedOn w:val="Default0"/>
    <w:link w:val="Pa6"/>
    <w:rPr>
      <w:rFonts w:ascii="Minion Pro" w:hAnsi="Minion Pro"/>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4">
    <w:name w:val="Title"/>
    <w:next w:val="a"/>
    <w:link w:val="af5"/>
    <w:uiPriority w:val="10"/>
    <w:qFormat/>
    <w:rPr>
      <w:rFonts w:ascii="XO Thames" w:hAnsi="XO Thames"/>
      <w:b/>
      <w:sz w:val="52"/>
    </w:rPr>
  </w:style>
  <w:style w:type="character" w:customStyle="1" w:styleId="af5">
    <w:name w:val="Название Знак"/>
    <w:link w:val="af4"/>
    <w:rPr>
      <w:rFonts w:ascii="XO Thames" w:hAnsi="XO Thames"/>
      <w:b/>
      <w:sz w:val="52"/>
    </w:rPr>
  </w:style>
  <w:style w:type="character" w:customStyle="1" w:styleId="40">
    <w:name w:val="Заголовок 4 Знак"/>
    <w:basedOn w:val="1"/>
    <w:link w:val="4"/>
    <w:rPr>
      <w:b/>
      <w:sz w:val="16"/>
    </w:rPr>
  </w:style>
  <w:style w:type="paragraph" w:customStyle="1" w:styleId="1f">
    <w:name w:val="Строгий1"/>
    <w:link w:val="1f0"/>
    <w:rPr>
      <w:b/>
    </w:rPr>
  </w:style>
  <w:style w:type="character" w:customStyle="1" w:styleId="1f0">
    <w:name w:val="Строгий1"/>
    <w:link w:val="1f"/>
    <w:rPr>
      <w:b/>
    </w:rPr>
  </w:style>
  <w:style w:type="paragraph" w:customStyle="1" w:styleId="12">
    <w:name w:val="Основной шрифт абзаца1"/>
    <w:link w:val="13"/>
  </w:style>
  <w:style w:type="character" w:customStyle="1" w:styleId="13">
    <w:name w:val="Основной шрифт абзаца1"/>
    <w:link w:val="12"/>
  </w:style>
  <w:style w:type="character" w:customStyle="1" w:styleId="20">
    <w:name w:val="Заголовок 2 Знак"/>
    <w:basedOn w:val="1"/>
    <w:link w:val="2"/>
    <w:rPr>
      <w:rFonts w:ascii="Arial" w:hAnsi="Arial"/>
      <w:b/>
      <w:i/>
      <w:sz w:val="28"/>
    </w:rPr>
  </w:style>
  <w:style w:type="paragraph" w:customStyle="1" w:styleId="Pa0">
    <w:name w:val="Pa0"/>
    <w:basedOn w:val="Default"/>
    <w:next w:val="Default"/>
    <w:link w:val="Pa00"/>
    <w:pPr>
      <w:spacing w:line="241" w:lineRule="atLeast"/>
    </w:pPr>
    <w:rPr>
      <w:rFonts w:ascii="Minion Pro" w:hAnsi="Minion Pro"/>
    </w:rPr>
  </w:style>
  <w:style w:type="character" w:customStyle="1" w:styleId="Pa00">
    <w:name w:val="Pa0"/>
    <w:basedOn w:val="Default0"/>
    <w:link w:val="Pa0"/>
    <w:rPr>
      <w:rFonts w:ascii="Minion Pro" w:hAnsi="Minion Pro"/>
      <w:sz w:val="24"/>
    </w:rPr>
  </w:style>
  <w:style w:type="paragraph" w:styleId="af6">
    <w:name w:val="Body Text Indent"/>
    <w:basedOn w:val="a"/>
    <w:link w:val="af7"/>
    <w:pPr>
      <w:spacing w:after="120"/>
      <w:ind w:left="283"/>
    </w:pPr>
    <w:rPr>
      <w:sz w:val="24"/>
    </w:rPr>
  </w:style>
  <w:style w:type="character" w:customStyle="1" w:styleId="af7">
    <w:name w:val="Основной текст с отступом Знак"/>
    <w:basedOn w:val="1"/>
    <w:link w:val="af6"/>
    <w:rPr>
      <w:sz w:val="24"/>
    </w:rPr>
  </w:style>
  <w:style w:type="paragraph" w:customStyle="1" w:styleId="aster">
    <w:name w:val="aster"/>
    <w:basedOn w:val="12"/>
    <w:link w:val="aster0"/>
  </w:style>
  <w:style w:type="character" w:customStyle="1" w:styleId="aster0">
    <w:name w:val="aster"/>
    <w:basedOn w:val="13"/>
    <w:link w:val="aster"/>
  </w:style>
  <w:style w:type="table" w:styleId="af8">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82829">
      <w:bodyDiv w:val="1"/>
      <w:marLeft w:val="0"/>
      <w:marRight w:val="0"/>
      <w:marTop w:val="0"/>
      <w:marBottom w:val="0"/>
      <w:divBdr>
        <w:top w:val="none" w:sz="0" w:space="0" w:color="auto"/>
        <w:left w:val="none" w:sz="0" w:space="0" w:color="auto"/>
        <w:bottom w:val="none" w:sz="0" w:space="0" w:color="auto"/>
        <w:right w:val="none" w:sz="0" w:space="0" w:color="auto"/>
      </w:divBdr>
    </w:div>
    <w:div w:id="316568523">
      <w:bodyDiv w:val="1"/>
      <w:marLeft w:val="0"/>
      <w:marRight w:val="0"/>
      <w:marTop w:val="0"/>
      <w:marBottom w:val="0"/>
      <w:divBdr>
        <w:top w:val="none" w:sz="0" w:space="0" w:color="auto"/>
        <w:left w:val="none" w:sz="0" w:space="0" w:color="auto"/>
        <w:bottom w:val="none" w:sz="0" w:space="0" w:color="auto"/>
        <w:right w:val="none" w:sz="0" w:space="0" w:color="auto"/>
      </w:divBdr>
    </w:div>
    <w:div w:id="316882320">
      <w:bodyDiv w:val="1"/>
      <w:marLeft w:val="0"/>
      <w:marRight w:val="0"/>
      <w:marTop w:val="0"/>
      <w:marBottom w:val="0"/>
      <w:divBdr>
        <w:top w:val="none" w:sz="0" w:space="0" w:color="auto"/>
        <w:left w:val="none" w:sz="0" w:space="0" w:color="auto"/>
        <w:bottom w:val="none" w:sz="0" w:space="0" w:color="auto"/>
        <w:right w:val="none" w:sz="0" w:space="0" w:color="auto"/>
      </w:divBdr>
    </w:div>
    <w:div w:id="328335963">
      <w:bodyDiv w:val="1"/>
      <w:marLeft w:val="0"/>
      <w:marRight w:val="0"/>
      <w:marTop w:val="0"/>
      <w:marBottom w:val="0"/>
      <w:divBdr>
        <w:top w:val="none" w:sz="0" w:space="0" w:color="auto"/>
        <w:left w:val="none" w:sz="0" w:space="0" w:color="auto"/>
        <w:bottom w:val="none" w:sz="0" w:space="0" w:color="auto"/>
        <w:right w:val="none" w:sz="0" w:space="0" w:color="auto"/>
      </w:divBdr>
    </w:div>
    <w:div w:id="416708819">
      <w:bodyDiv w:val="1"/>
      <w:marLeft w:val="0"/>
      <w:marRight w:val="0"/>
      <w:marTop w:val="0"/>
      <w:marBottom w:val="0"/>
      <w:divBdr>
        <w:top w:val="none" w:sz="0" w:space="0" w:color="auto"/>
        <w:left w:val="none" w:sz="0" w:space="0" w:color="auto"/>
        <w:bottom w:val="none" w:sz="0" w:space="0" w:color="auto"/>
        <w:right w:val="none" w:sz="0" w:space="0" w:color="auto"/>
      </w:divBdr>
    </w:div>
    <w:div w:id="528954601">
      <w:bodyDiv w:val="1"/>
      <w:marLeft w:val="0"/>
      <w:marRight w:val="0"/>
      <w:marTop w:val="0"/>
      <w:marBottom w:val="0"/>
      <w:divBdr>
        <w:top w:val="none" w:sz="0" w:space="0" w:color="auto"/>
        <w:left w:val="none" w:sz="0" w:space="0" w:color="auto"/>
        <w:bottom w:val="none" w:sz="0" w:space="0" w:color="auto"/>
        <w:right w:val="none" w:sz="0" w:space="0" w:color="auto"/>
      </w:divBdr>
    </w:div>
    <w:div w:id="638001419">
      <w:bodyDiv w:val="1"/>
      <w:marLeft w:val="0"/>
      <w:marRight w:val="0"/>
      <w:marTop w:val="0"/>
      <w:marBottom w:val="0"/>
      <w:divBdr>
        <w:top w:val="none" w:sz="0" w:space="0" w:color="auto"/>
        <w:left w:val="none" w:sz="0" w:space="0" w:color="auto"/>
        <w:bottom w:val="none" w:sz="0" w:space="0" w:color="auto"/>
        <w:right w:val="none" w:sz="0" w:space="0" w:color="auto"/>
      </w:divBdr>
    </w:div>
    <w:div w:id="854659267">
      <w:bodyDiv w:val="1"/>
      <w:marLeft w:val="0"/>
      <w:marRight w:val="0"/>
      <w:marTop w:val="0"/>
      <w:marBottom w:val="0"/>
      <w:divBdr>
        <w:top w:val="none" w:sz="0" w:space="0" w:color="auto"/>
        <w:left w:val="none" w:sz="0" w:space="0" w:color="auto"/>
        <w:bottom w:val="none" w:sz="0" w:space="0" w:color="auto"/>
        <w:right w:val="none" w:sz="0" w:space="0" w:color="auto"/>
      </w:divBdr>
    </w:div>
    <w:div w:id="1438258012">
      <w:bodyDiv w:val="1"/>
      <w:marLeft w:val="0"/>
      <w:marRight w:val="0"/>
      <w:marTop w:val="0"/>
      <w:marBottom w:val="0"/>
      <w:divBdr>
        <w:top w:val="none" w:sz="0" w:space="0" w:color="auto"/>
        <w:left w:val="none" w:sz="0" w:space="0" w:color="auto"/>
        <w:bottom w:val="none" w:sz="0" w:space="0" w:color="auto"/>
        <w:right w:val="none" w:sz="0" w:space="0" w:color="auto"/>
      </w:divBdr>
    </w:div>
    <w:div w:id="1517889594">
      <w:bodyDiv w:val="1"/>
      <w:marLeft w:val="0"/>
      <w:marRight w:val="0"/>
      <w:marTop w:val="0"/>
      <w:marBottom w:val="0"/>
      <w:divBdr>
        <w:top w:val="none" w:sz="0" w:space="0" w:color="auto"/>
        <w:left w:val="none" w:sz="0" w:space="0" w:color="auto"/>
        <w:bottom w:val="none" w:sz="0" w:space="0" w:color="auto"/>
        <w:right w:val="none" w:sz="0" w:space="0" w:color="auto"/>
      </w:divBdr>
    </w:div>
    <w:div w:id="1723360199">
      <w:bodyDiv w:val="1"/>
      <w:marLeft w:val="0"/>
      <w:marRight w:val="0"/>
      <w:marTop w:val="0"/>
      <w:marBottom w:val="0"/>
      <w:divBdr>
        <w:top w:val="none" w:sz="0" w:space="0" w:color="auto"/>
        <w:left w:val="none" w:sz="0" w:space="0" w:color="auto"/>
        <w:bottom w:val="none" w:sz="0" w:space="0" w:color="auto"/>
        <w:right w:val="none" w:sz="0" w:space="0" w:color="auto"/>
      </w:divBdr>
    </w:div>
    <w:div w:id="1859195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kfl2.nalog.ru/lkfl/login" TargetMode="External"/><Relationship Id="rId3" Type="http://schemas.microsoft.com/office/2007/relationships/stylesWithEffects" Target="stylesWithEffects.xml"/><Relationship Id="rId7" Type="http://schemas.openxmlformats.org/officeDocument/2006/relationships/hyperlink" Target="https://lkfl2.nalog.ru/lkfl/lo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tabusi@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493</Words>
  <Characters>2816</Characters>
  <Application>Microsoft Office Word</Application>
  <DocSecurity>0</DocSecurity>
  <Lines>23</Lines>
  <Paragraphs>6</Paragraphs>
  <ScaleCrop>false</ScaleCrop>
  <Company/>
  <LinksUpToDate>false</LinksUpToDate>
  <CharactersWithSpaces>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Козлова Оксана Леонидовна</cp:lastModifiedBy>
  <cp:revision>19</cp:revision>
  <dcterms:created xsi:type="dcterms:W3CDTF">2020-06-17T08:48:00Z</dcterms:created>
  <dcterms:modified xsi:type="dcterms:W3CDTF">2020-09-22T09:50:00Z</dcterms:modified>
</cp:coreProperties>
</file>