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9" w:rsidRPr="006D1E99" w:rsidRDefault="006D1E99" w:rsidP="006D1E99">
      <w:pPr>
        <w:spacing w:after="0" w:line="247" w:lineRule="atLeast"/>
        <w:outlineLvl w:val="0"/>
        <w:rPr>
          <w:rFonts w:ascii="Roboto Condensed" w:eastAsia="Times New Roman" w:hAnsi="Roboto Condensed" w:cs="Times New Roman"/>
          <w:color w:val="000000"/>
          <w:spacing w:val="-6"/>
          <w:kern w:val="36"/>
          <w:sz w:val="45"/>
          <w:szCs w:val="45"/>
          <w:lang w:eastAsia="ru-RU"/>
        </w:rPr>
      </w:pPr>
      <w:r w:rsidRPr="006D1E99">
        <w:rPr>
          <w:rFonts w:ascii="Roboto Condensed" w:eastAsia="Times New Roman" w:hAnsi="Roboto Condensed" w:cs="Times New Roman"/>
          <w:color w:val="000000"/>
          <w:spacing w:val="-6"/>
          <w:kern w:val="36"/>
          <w:sz w:val="45"/>
          <w:szCs w:val="45"/>
          <w:lang w:eastAsia="ru-RU"/>
        </w:rPr>
        <w:fldChar w:fldCharType="begin"/>
      </w:r>
      <w:r w:rsidRPr="006D1E99">
        <w:rPr>
          <w:rFonts w:ascii="Roboto Condensed" w:eastAsia="Times New Roman" w:hAnsi="Roboto Condensed" w:cs="Times New Roman"/>
          <w:color w:val="000000"/>
          <w:spacing w:val="-6"/>
          <w:kern w:val="36"/>
          <w:sz w:val="45"/>
          <w:szCs w:val="45"/>
          <w:lang w:eastAsia="ru-RU"/>
        </w:rPr>
        <w:instrText xml:space="preserve"> HYPERLINK "http://energy.midural.ru/napravleniya-deyatelnosti/zhkh/obraschenie-s-tverdyimi-byitovyimi-othodami-tbo/reforma-obrashheniya-s-tko-v-voprosah-i-otvetah/" </w:instrText>
      </w:r>
      <w:r w:rsidRPr="006D1E99">
        <w:rPr>
          <w:rFonts w:ascii="Roboto Condensed" w:eastAsia="Times New Roman" w:hAnsi="Roboto Condensed" w:cs="Times New Roman"/>
          <w:color w:val="000000"/>
          <w:spacing w:val="-6"/>
          <w:kern w:val="36"/>
          <w:sz w:val="45"/>
          <w:szCs w:val="45"/>
          <w:lang w:eastAsia="ru-RU"/>
        </w:rPr>
        <w:fldChar w:fldCharType="separate"/>
      </w:r>
      <w:r w:rsidRPr="006D1E99">
        <w:rPr>
          <w:rFonts w:ascii="Roboto Condensed" w:eastAsia="Times New Roman" w:hAnsi="Roboto Condensed" w:cs="Times New Roman"/>
          <w:color w:val="000000"/>
          <w:spacing w:val="-6"/>
          <w:kern w:val="36"/>
          <w:sz w:val="45"/>
          <w:szCs w:val="45"/>
          <w:bdr w:val="none" w:sz="0" w:space="0" w:color="auto" w:frame="1"/>
          <w:lang w:eastAsia="ru-RU"/>
        </w:rPr>
        <w:br/>
        <w:t>Реформа обращения с ТКО в вопросах и ответах</w:t>
      </w:r>
      <w:r w:rsidRPr="006D1E99">
        <w:rPr>
          <w:rFonts w:ascii="Roboto Condensed" w:eastAsia="Times New Roman" w:hAnsi="Roboto Condensed" w:cs="Times New Roman"/>
          <w:color w:val="000000"/>
          <w:spacing w:val="-6"/>
          <w:kern w:val="36"/>
          <w:sz w:val="45"/>
          <w:szCs w:val="45"/>
          <w:lang w:eastAsia="ru-RU"/>
        </w:rPr>
        <w:fldChar w:fldCharType="end"/>
      </w:r>
    </w:p>
    <w:p w:rsidR="006D1E99" w:rsidRPr="006D1E99" w:rsidRDefault="006D1E99" w:rsidP="006D1E99">
      <w:pPr>
        <w:spacing w:after="336"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Основные вопросы, с которыми сталкивается жители, юридические лица и предприниматели на территории Свердловской области в своей деятельности при обращении с твердыми коммунальными отходами (ТКО):</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 Зачем нужна реформа системы обращения с твердыми коммунальными отходами?</w:t>
      </w:r>
      <w:r w:rsidRPr="006D1E99">
        <w:rPr>
          <w:rFonts w:ascii="PT Sans" w:eastAsia="Times New Roman" w:hAnsi="PT Sans" w:cs="Times New Roman"/>
          <w:color w:val="606060"/>
          <w:sz w:val="27"/>
          <w:szCs w:val="27"/>
          <w:lang w:eastAsia="ru-RU"/>
        </w:rPr>
        <w:br/>
        <w:t>Сложившаяся десятилетиями и существующая на сегодняшний день в России система сбора и удаления ТКО основана на захоронении отходов на несанкционированных свалках. Лишь в небольшом количестве случаев ТКО размещаются на обустроенных в соответствии с действующими нормами полигонах. Следовательно, полигонная система захоронения отходов не выполняет требования по снижению негативного воздействия на окружающую среду и подлежит изменению.</w:t>
      </w:r>
      <w:r w:rsidRPr="006D1E99">
        <w:rPr>
          <w:rFonts w:ascii="PT Sans" w:eastAsia="Times New Roman" w:hAnsi="PT Sans" w:cs="Times New Roman"/>
          <w:color w:val="606060"/>
          <w:sz w:val="27"/>
          <w:szCs w:val="27"/>
          <w:lang w:eastAsia="ru-RU"/>
        </w:rPr>
        <w:br/>
        <w:t>В Свердловской области полигонов для размещения образуемых отходов не имеют 28 муниципальных образований, 47 муниципалитетов используют для этих целей свалки, абсолютно не соответствующие природоохранному законодательству. Полигоны же, включенные в государственный реестр, то есть признанные законными, есть только в 30 муниципальных образованиях.</w:t>
      </w:r>
      <w:r w:rsidRPr="006D1E99">
        <w:rPr>
          <w:rFonts w:ascii="PT Sans" w:eastAsia="Times New Roman" w:hAnsi="PT Sans" w:cs="Times New Roman"/>
          <w:color w:val="606060"/>
          <w:sz w:val="27"/>
          <w:szCs w:val="27"/>
          <w:lang w:eastAsia="ru-RU"/>
        </w:rPr>
        <w:br/>
        <w:t>При такой системе, когда не реконструируются полигоны и свалки переполнены отходами, решение вопросов переработки ТКО, равно как и экономии природных ресурсов и снижения негативного воздействия на окружающую среду, не представляется возможным.</w:t>
      </w:r>
      <w:r w:rsidRPr="006D1E99">
        <w:rPr>
          <w:rFonts w:ascii="PT Sans" w:eastAsia="Times New Roman" w:hAnsi="PT Sans" w:cs="Times New Roman"/>
          <w:color w:val="606060"/>
          <w:sz w:val="27"/>
          <w:szCs w:val="27"/>
          <w:lang w:eastAsia="ru-RU"/>
        </w:rPr>
        <w:br/>
        <w:t>Именно поэтому основная задача реформы заключается в формировании принципиально новой, современной системы обращения с твердыми коммунальными отходами – системы, направленной на повышение экологической сознательности населения и создание такой инфраструктуры, которая позволит максимально сократить захоронение полезных фракций и перейти на их переработку и вторичное вовлечение в промышленное производство.</w:t>
      </w:r>
      <w:r w:rsidRPr="006D1E99">
        <w:rPr>
          <w:rFonts w:ascii="PT Sans" w:eastAsia="Times New Roman" w:hAnsi="PT Sans" w:cs="Times New Roman"/>
          <w:color w:val="606060"/>
          <w:sz w:val="27"/>
          <w:szCs w:val="27"/>
          <w:lang w:eastAsia="ru-RU"/>
        </w:rPr>
        <w:b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 В планах Правительства Свердловской области к 2025 году построить 12 мусоросортировочных комплексов.</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В рамках реформы будет полностью исключена возможность использования для размещения ТКО несанкционированных свалок. Последних на сегодняшний день в Свердловской области насчитывается более 200 единиц.</w:t>
      </w:r>
      <w:r w:rsidRPr="006D1E99">
        <w:rPr>
          <w:rFonts w:ascii="PT Sans" w:eastAsia="Times New Roman" w:hAnsi="PT Sans" w:cs="Times New Roman"/>
          <w:color w:val="606060"/>
          <w:sz w:val="27"/>
          <w:szCs w:val="27"/>
          <w:lang w:eastAsia="ru-RU"/>
        </w:rPr>
        <w:br/>
        <w:t>В новых условиях региональный оператор при заключении договора на транспортирование ТКО указывает объект их конечного размещения. В случае нарушения логистики, основание для оплаты перевозчику этой услуги утрачивается. А это значит, что попадание ТКО на несанкционированные свалки практически исключается.</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lastRenderedPageBreak/>
        <w:t>2. В чем особенность услуги по обращению с твердыми коммунальными отходами?</w:t>
      </w:r>
      <w:r w:rsidRPr="006D1E99">
        <w:rPr>
          <w:rFonts w:ascii="PT Sans" w:eastAsia="Times New Roman" w:hAnsi="PT Sans" w:cs="Times New Roman"/>
          <w:color w:val="606060"/>
          <w:sz w:val="27"/>
          <w:szCs w:val="27"/>
          <w:lang w:eastAsia="ru-RU"/>
        </w:rPr>
        <w:br/>
        <w:t>Затраты на вывоз и захоронение ТКО раньше были учтены в составе платы за содержание жилого помещения. Причем расшифровка указанных затрат не везде была обнародована, и не все знали сколько же они платят за соответствующие услуги. В условиях реформы услуга по обращению с ТКО переходит в категорию коммунальной и плата за нее в квитанции будет выставлена отдельной строкой. Те затраты, которые ранее за вывоз и захоронение ТКО учитывались в составе платы за содержания жилого помещения, с 1 января из нее полностью исключаются.</w:t>
      </w:r>
      <w:r w:rsidRPr="006D1E99">
        <w:rPr>
          <w:rFonts w:ascii="PT Sans" w:eastAsia="Times New Roman" w:hAnsi="PT Sans" w:cs="Times New Roman"/>
          <w:color w:val="606060"/>
          <w:sz w:val="27"/>
          <w:szCs w:val="27"/>
          <w:lang w:eastAsia="ru-RU"/>
        </w:rPr>
        <w:br/>
        <w:t xml:space="preserve">Поскольку все </w:t>
      </w:r>
      <w:proofErr w:type="spellStart"/>
      <w:r w:rsidRPr="006D1E99">
        <w:rPr>
          <w:rFonts w:ascii="PT Sans" w:eastAsia="Times New Roman" w:hAnsi="PT Sans" w:cs="Times New Roman"/>
          <w:color w:val="606060"/>
          <w:sz w:val="27"/>
          <w:szCs w:val="27"/>
          <w:lang w:eastAsia="ru-RU"/>
        </w:rPr>
        <w:t>отходообразователи</w:t>
      </w:r>
      <w:proofErr w:type="spellEnd"/>
      <w:r w:rsidRPr="006D1E99">
        <w:rPr>
          <w:rFonts w:ascii="PT Sans" w:eastAsia="Times New Roman" w:hAnsi="PT Sans" w:cs="Times New Roman"/>
          <w:color w:val="606060"/>
          <w:sz w:val="27"/>
          <w:szCs w:val="27"/>
          <w:lang w:eastAsia="ru-RU"/>
        </w:rPr>
        <w:t xml:space="preserve"> имеют обязательства по внесению платы за коммунальную услугу по обращению с ТКО, выбрасывать мусор 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r w:rsidRPr="006D1E99">
        <w:rPr>
          <w:rFonts w:ascii="PT Sans" w:eastAsia="Times New Roman" w:hAnsi="PT Sans" w:cs="Times New Roman"/>
          <w:color w:val="606060"/>
          <w:sz w:val="27"/>
          <w:szCs w:val="27"/>
          <w:lang w:eastAsia="ru-RU"/>
        </w:rPr>
        <w:br/>
        <w:t>В случае неоплаты оказанной услуги задолженность с неплательщика взыскивается в судебном порядке с начислением пени за просроченные платежи.</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3. Как установлен и из каких затрат состоит тариф региональных операторов?</w:t>
      </w:r>
      <w:r w:rsidRPr="006D1E99">
        <w:rPr>
          <w:rFonts w:ascii="PT Sans" w:eastAsia="Times New Roman" w:hAnsi="PT Sans" w:cs="Times New Roman"/>
          <w:color w:val="606060"/>
          <w:sz w:val="27"/>
          <w:szCs w:val="27"/>
          <w:lang w:eastAsia="ru-RU"/>
        </w:rPr>
        <w:br/>
        <w:t>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 определенных территориальной схемой в сфере обращения с отходами производства и потребления Свердловской области. В рамках конкурсного отбора заявителями были предоставлены конкурсные предложения по размеру услуги регионального оператора. 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r w:rsidRPr="006D1E99">
        <w:rPr>
          <w:rFonts w:ascii="PT Sans" w:eastAsia="Times New Roman" w:hAnsi="PT Sans" w:cs="Times New Roman"/>
          <w:color w:val="606060"/>
          <w:sz w:val="27"/>
          <w:szCs w:val="27"/>
          <w:lang w:eastAsia="ru-RU"/>
        </w:rPr>
        <w:br/>
        <w:t>Согласно установленным требованиям, до 1 июля 2018 года региональные операторы направили предложения по установлению единых тарифов на свои услуги в Региональную энергетическую комиссию Свердловской области.</w:t>
      </w:r>
      <w:r w:rsidRPr="006D1E99">
        <w:rPr>
          <w:rFonts w:ascii="PT Sans" w:eastAsia="Times New Roman" w:hAnsi="PT Sans" w:cs="Times New Roman"/>
          <w:color w:val="606060"/>
          <w:sz w:val="27"/>
          <w:szCs w:val="27"/>
          <w:lang w:eastAsia="ru-RU"/>
        </w:rPr>
        <w:br/>
        <w:t>При установлении указанных величин была учтена следующая структура расходов:</w:t>
      </w:r>
      <w:r w:rsidRPr="006D1E99">
        <w:rPr>
          <w:rFonts w:ascii="PT Sans" w:eastAsia="Times New Roman" w:hAnsi="PT Sans" w:cs="Times New Roman"/>
          <w:color w:val="606060"/>
          <w:sz w:val="27"/>
          <w:szCs w:val="27"/>
          <w:lang w:eastAsia="ru-RU"/>
        </w:rPr>
        <w:br/>
        <w:t>1) услуги операторов по захоронение ТКО на полигонах, в т. ч.:</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плата за негативное воздействие на окружающую среду;</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инвестиционная составляющая;</w:t>
      </w:r>
      <w:r w:rsidRPr="006D1E99">
        <w:rPr>
          <w:rFonts w:ascii="PT Sans" w:eastAsia="Times New Roman" w:hAnsi="PT Sans" w:cs="Times New Roman"/>
          <w:color w:val="606060"/>
          <w:sz w:val="27"/>
          <w:szCs w:val="27"/>
          <w:lang w:eastAsia="ru-RU"/>
        </w:rPr>
        <w:br/>
        <w:t>2) налог на прибыль и НДС;</w:t>
      </w:r>
      <w:r w:rsidRPr="006D1E99">
        <w:rPr>
          <w:rFonts w:ascii="PT Sans" w:eastAsia="Times New Roman" w:hAnsi="PT Sans" w:cs="Times New Roman"/>
          <w:color w:val="606060"/>
          <w:sz w:val="27"/>
          <w:szCs w:val="27"/>
          <w:lang w:eastAsia="ru-RU"/>
        </w:rPr>
        <w:br/>
        <w:t>3) услуги по транспортированию ТКО;</w:t>
      </w:r>
      <w:r w:rsidRPr="006D1E99">
        <w:rPr>
          <w:rFonts w:ascii="PT Sans" w:eastAsia="Times New Roman" w:hAnsi="PT Sans" w:cs="Times New Roman"/>
          <w:color w:val="606060"/>
          <w:sz w:val="27"/>
          <w:szCs w:val="27"/>
          <w:lang w:eastAsia="ru-RU"/>
        </w:rPr>
        <w:br/>
        <w:t>4) расходы на заключение и обслуживание договоров.</w:t>
      </w:r>
      <w:r w:rsidRPr="006D1E99">
        <w:rPr>
          <w:rFonts w:ascii="PT Sans" w:eastAsia="Times New Roman" w:hAnsi="PT Sans" w:cs="Times New Roman"/>
          <w:color w:val="606060"/>
          <w:sz w:val="27"/>
          <w:szCs w:val="27"/>
          <w:lang w:eastAsia="ru-RU"/>
        </w:rPr>
        <w:br/>
        <w:t>В Свердловской области начисление за коммунальную услугу по обращению с ТКО будет осуществляться с человека 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r w:rsidRPr="006D1E99">
        <w:rPr>
          <w:rFonts w:ascii="PT Sans" w:eastAsia="Times New Roman" w:hAnsi="PT Sans" w:cs="Times New Roman"/>
          <w:color w:val="606060"/>
          <w:sz w:val="27"/>
          <w:szCs w:val="27"/>
          <w:lang w:eastAsia="ru-RU"/>
        </w:rPr>
        <w:br/>
        <w:t xml:space="preserve">Средства, собираемые региональными операторами в объеме единого тарифа, </w:t>
      </w:r>
      <w:r w:rsidRPr="006D1E99">
        <w:rPr>
          <w:rFonts w:ascii="PT Sans" w:eastAsia="Times New Roman" w:hAnsi="PT Sans" w:cs="Times New Roman"/>
          <w:color w:val="606060"/>
          <w:sz w:val="27"/>
          <w:szCs w:val="27"/>
          <w:lang w:eastAsia="ru-RU"/>
        </w:rPr>
        <w:lastRenderedPageBreak/>
        <w:t>пойдут на строительство новой и реконструкцию действующей инфраструктуры, приобретение большегрузной техники для транспортирования отходов, упорядочение потоков отходов, ликвидацию несанкционированных свалок, то есть на улучшение окружающей среды и обеспечение благоприятных условий проживания населения.</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4. Почему выросли тарифы на вывоз отходов?</w:t>
      </w:r>
      <w:r w:rsidRPr="006D1E99">
        <w:rPr>
          <w:rFonts w:ascii="PT Sans" w:eastAsia="Times New Roman" w:hAnsi="PT Sans" w:cs="Times New Roman"/>
          <w:color w:val="606060"/>
          <w:sz w:val="27"/>
          <w:szCs w:val="27"/>
          <w:lang w:eastAsia="ru-RU"/>
        </w:rPr>
        <w:br/>
        <w:t>Рост платы граждан за услугу по обращению с ТКО по сравнению с ранее оказываемой услугой по вывозу и утилизации отходов связан с несколькими факторами.</w:t>
      </w:r>
      <w:r w:rsidRPr="006D1E99">
        <w:rPr>
          <w:rFonts w:ascii="PT Sans" w:eastAsia="Times New Roman" w:hAnsi="PT Sans" w:cs="Times New Roman"/>
          <w:color w:val="606060"/>
          <w:sz w:val="27"/>
          <w:szCs w:val="27"/>
          <w:lang w:eastAsia="ru-RU"/>
        </w:rPr>
        <w:br/>
        <w:t>Исторически сложилось, что размер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w:t>
      </w:r>
      <w:r w:rsidRPr="006D1E99">
        <w:rPr>
          <w:rFonts w:ascii="PT Sans" w:eastAsia="Times New Roman" w:hAnsi="PT Sans" w:cs="Times New Roman"/>
          <w:color w:val="606060"/>
          <w:sz w:val="27"/>
          <w:szCs w:val="27"/>
          <w:lang w:eastAsia="ru-RU"/>
        </w:rPr>
        <w:br/>
        <w:t>Согласно пункту 1 статьи 23 Федерального закона от 24 июня 1998 года № 89-ФЗ «Об отходах производства и потребления»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с населения.</w:t>
      </w:r>
      <w:r w:rsidRPr="006D1E99">
        <w:rPr>
          <w:rFonts w:ascii="PT Sans" w:eastAsia="Times New Roman" w:hAnsi="PT Sans" w:cs="Times New Roman"/>
          <w:color w:val="606060"/>
          <w:sz w:val="27"/>
          <w:szCs w:val="27"/>
          <w:lang w:eastAsia="ru-RU"/>
        </w:rPr>
        <w:b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5. Сколько региональных операторов в Свердловской области?</w:t>
      </w:r>
      <w:r w:rsidRPr="006D1E99">
        <w:rPr>
          <w:rFonts w:ascii="PT Sans" w:eastAsia="Times New Roman" w:hAnsi="PT Sans" w:cs="Times New Roman"/>
          <w:color w:val="606060"/>
          <w:sz w:val="27"/>
          <w:szCs w:val="27"/>
          <w:lang w:eastAsia="ru-RU"/>
        </w:rPr>
        <w:br/>
      </w:r>
      <w:proofErr w:type="gramStart"/>
      <w:r w:rsidRPr="006D1E99">
        <w:rPr>
          <w:rFonts w:ascii="PT Sans" w:eastAsia="Times New Roman" w:hAnsi="PT Sans" w:cs="Times New Roman"/>
          <w:color w:val="606060"/>
          <w:sz w:val="27"/>
          <w:szCs w:val="27"/>
          <w:lang w:eastAsia="ru-RU"/>
        </w:rPr>
        <w:t>В Свердловской области определено три региональных оператора по обращению с ТКО:</w:t>
      </w:r>
      <w:r w:rsidRPr="006D1E99">
        <w:rPr>
          <w:rFonts w:ascii="PT Sans" w:eastAsia="Times New Roman" w:hAnsi="PT Sans" w:cs="Times New Roman"/>
          <w:color w:val="606060"/>
          <w:sz w:val="27"/>
          <w:szCs w:val="27"/>
          <w:lang w:eastAsia="ru-RU"/>
        </w:rPr>
        <w:br/>
        <w:t>в Северном административно-производственном объединении (АПО-1) с центром в городе Нижний Тагил – ООО «Компания «РИФЕЙ»;</w:t>
      </w:r>
      <w:r w:rsidRPr="006D1E99">
        <w:rPr>
          <w:rFonts w:ascii="PT Sans" w:eastAsia="Times New Roman" w:hAnsi="PT Sans" w:cs="Times New Roman"/>
          <w:color w:val="606060"/>
          <w:sz w:val="27"/>
          <w:szCs w:val="27"/>
          <w:lang w:eastAsia="ru-RU"/>
        </w:rPr>
        <w:br/>
        <w:t>в Западном административно-производственном объединении (АПО-2) с центром в городе Первоуральск – ООО «ТБО «</w:t>
      </w:r>
      <w:proofErr w:type="spellStart"/>
      <w:r w:rsidRPr="006D1E99">
        <w:rPr>
          <w:rFonts w:ascii="PT Sans" w:eastAsia="Times New Roman" w:hAnsi="PT Sans" w:cs="Times New Roman"/>
          <w:color w:val="606060"/>
          <w:sz w:val="27"/>
          <w:szCs w:val="27"/>
          <w:lang w:eastAsia="ru-RU"/>
        </w:rPr>
        <w:t>Экосервис</w:t>
      </w:r>
      <w:proofErr w:type="spellEnd"/>
      <w:r w:rsidRPr="006D1E99">
        <w:rPr>
          <w:rFonts w:ascii="PT Sans" w:eastAsia="Times New Roman" w:hAnsi="PT Sans" w:cs="Times New Roman"/>
          <w:color w:val="606060"/>
          <w:sz w:val="27"/>
          <w:szCs w:val="27"/>
          <w:lang w:eastAsia="ru-RU"/>
        </w:rPr>
        <w:t>»;</w:t>
      </w:r>
      <w:r w:rsidRPr="006D1E99">
        <w:rPr>
          <w:rFonts w:ascii="PT Sans" w:eastAsia="Times New Roman" w:hAnsi="PT Sans" w:cs="Times New Roman"/>
          <w:color w:val="606060"/>
          <w:sz w:val="27"/>
          <w:szCs w:val="27"/>
          <w:lang w:eastAsia="ru-RU"/>
        </w:rPr>
        <w:br/>
        <w:t>в Восточном административно-производственном объединении (АПО-3) с центром в городе Екатеринбург – ЕМУП «Специализированная автобаза».</w:t>
      </w:r>
      <w:proofErr w:type="gramEnd"/>
      <w:r w:rsidRPr="006D1E99">
        <w:rPr>
          <w:rFonts w:ascii="PT Sans" w:eastAsia="Times New Roman" w:hAnsi="PT Sans" w:cs="Times New Roman"/>
          <w:color w:val="606060"/>
          <w:sz w:val="27"/>
          <w:szCs w:val="27"/>
          <w:lang w:eastAsia="ru-RU"/>
        </w:rPr>
        <w:br/>
        <w:t>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6. Каковы функции регионального оператора?</w:t>
      </w:r>
      <w:r w:rsidRPr="006D1E99">
        <w:rPr>
          <w:rFonts w:ascii="PT Sans" w:eastAsia="Times New Roman" w:hAnsi="PT Sans" w:cs="Times New Roman"/>
          <w:color w:val="606060"/>
          <w:sz w:val="27"/>
          <w:szCs w:val="27"/>
          <w:lang w:eastAsia="ru-RU"/>
        </w:rPr>
        <w:br/>
        <w:t xml:space="preserve">Региональный оператор обеспечивает сбор, накопление, транспортирование, обработку, утилизацию, обезвреживание, размещение твердых коммунальных </w:t>
      </w:r>
      <w:r w:rsidRPr="006D1E99">
        <w:rPr>
          <w:rFonts w:ascii="PT Sans" w:eastAsia="Times New Roman" w:hAnsi="PT Sans" w:cs="Times New Roman"/>
          <w:color w:val="606060"/>
          <w:sz w:val="27"/>
          <w:szCs w:val="27"/>
          <w:lang w:eastAsia="ru-RU"/>
        </w:rPr>
        <w:lastRenderedPageBreak/>
        <w:t>отходов (далее – ТКО) в зоне своей деятельности на территории субъекта Российской Федерации в соответствии с региональной программой и территориальной схемой обращения с твердыми коммунальными отходами.</w:t>
      </w:r>
      <w:r w:rsidRPr="006D1E99">
        <w:rPr>
          <w:rFonts w:ascii="PT Sans" w:eastAsia="Times New Roman" w:hAnsi="PT Sans" w:cs="Times New Roman"/>
          <w:color w:val="606060"/>
          <w:sz w:val="27"/>
          <w:szCs w:val="27"/>
          <w:lang w:eastAsia="ru-RU"/>
        </w:rPr>
        <w:br/>
        <w:t>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на десять лет на основании конкурсного отбора.</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 xml:space="preserve">7. </w:t>
      </w:r>
      <w:proofErr w:type="gramStart"/>
      <w:r w:rsidRPr="006D1E99">
        <w:rPr>
          <w:rFonts w:ascii="PT Sans" w:eastAsia="Times New Roman" w:hAnsi="PT Sans" w:cs="Times New Roman"/>
          <w:color w:val="606060"/>
          <w:sz w:val="27"/>
          <w:szCs w:val="27"/>
          <w:lang w:eastAsia="ru-RU"/>
        </w:rPr>
        <w:t>Куда обращаться по вопросам работы региональных операторов, в случаях, когда некорректно выставлены квитанции и т.д.?</w:t>
      </w:r>
      <w:r w:rsidRPr="006D1E99">
        <w:rPr>
          <w:rFonts w:ascii="PT Sans" w:eastAsia="Times New Roman" w:hAnsi="PT Sans" w:cs="Times New Roman"/>
          <w:color w:val="606060"/>
          <w:sz w:val="27"/>
          <w:szCs w:val="27"/>
          <w:lang w:eastAsia="ru-RU"/>
        </w:rPr>
        <w:br/>
        <w:t>У всех региональных операторов работают «горячие телефонные линии» по обращению с отходами:</w:t>
      </w:r>
      <w:r w:rsidRPr="006D1E99">
        <w:rPr>
          <w:rFonts w:ascii="PT Sans" w:eastAsia="Times New Roman" w:hAnsi="PT Sans" w:cs="Times New Roman"/>
          <w:color w:val="606060"/>
          <w:sz w:val="27"/>
          <w:szCs w:val="27"/>
          <w:lang w:eastAsia="ru-RU"/>
        </w:rPr>
        <w:br/>
        <w:t>в Северном административно-производственном объединении (АПО-1) – ООО «Компания «РИФЕЙ» – 8-800-250-60-06;</w:t>
      </w:r>
      <w:r w:rsidRPr="006D1E99">
        <w:rPr>
          <w:rFonts w:ascii="PT Sans" w:eastAsia="Times New Roman" w:hAnsi="PT Sans" w:cs="Times New Roman"/>
          <w:color w:val="606060"/>
          <w:sz w:val="27"/>
          <w:szCs w:val="27"/>
          <w:lang w:eastAsia="ru-RU"/>
        </w:rPr>
        <w:br/>
        <w:t>в Западном административно-производственном объединении (АПО-2) – ООО «ТБО «</w:t>
      </w:r>
      <w:proofErr w:type="spellStart"/>
      <w:r w:rsidRPr="006D1E99">
        <w:rPr>
          <w:rFonts w:ascii="PT Sans" w:eastAsia="Times New Roman" w:hAnsi="PT Sans" w:cs="Times New Roman"/>
          <w:color w:val="606060"/>
          <w:sz w:val="27"/>
          <w:szCs w:val="27"/>
          <w:lang w:eastAsia="ru-RU"/>
        </w:rPr>
        <w:t>Экосервис</w:t>
      </w:r>
      <w:proofErr w:type="spellEnd"/>
      <w:r w:rsidRPr="006D1E99">
        <w:rPr>
          <w:rFonts w:ascii="PT Sans" w:eastAsia="Times New Roman" w:hAnsi="PT Sans" w:cs="Times New Roman"/>
          <w:color w:val="606060"/>
          <w:sz w:val="27"/>
          <w:szCs w:val="27"/>
          <w:lang w:eastAsia="ru-RU"/>
        </w:rPr>
        <w:t>» – 8-800-100-89-54</w:t>
      </w:r>
      <w:r w:rsidRPr="006D1E99">
        <w:rPr>
          <w:rFonts w:ascii="PT Sans" w:eastAsia="Times New Roman" w:hAnsi="PT Sans" w:cs="Times New Roman"/>
          <w:color w:val="606060"/>
          <w:sz w:val="27"/>
          <w:szCs w:val="27"/>
          <w:lang w:eastAsia="ru-RU"/>
        </w:rPr>
        <w:br/>
        <w:t>в Восточном административно-производственном объединении (АПО-3) – ЕМУП «Специализированная автобаза» – 8-800-775-00-96.</w:t>
      </w:r>
      <w:proofErr w:type="gramEnd"/>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 xml:space="preserve">8. Какие отходы относятся к </w:t>
      </w:r>
      <w:proofErr w:type="gramStart"/>
      <w:r w:rsidRPr="006D1E99">
        <w:rPr>
          <w:rFonts w:ascii="PT Sans" w:eastAsia="Times New Roman" w:hAnsi="PT Sans" w:cs="Times New Roman"/>
          <w:color w:val="606060"/>
          <w:sz w:val="27"/>
          <w:szCs w:val="27"/>
          <w:lang w:eastAsia="ru-RU"/>
        </w:rPr>
        <w:t>твердым</w:t>
      </w:r>
      <w:proofErr w:type="gramEnd"/>
      <w:r w:rsidRPr="006D1E99">
        <w:rPr>
          <w:rFonts w:ascii="PT Sans" w:eastAsia="Times New Roman" w:hAnsi="PT Sans" w:cs="Times New Roman"/>
          <w:color w:val="606060"/>
          <w:sz w:val="27"/>
          <w:szCs w:val="27"/>
          <w:lang w:eastAsia="ru-RU"/>
        </w:rPr>
        <w:t xml:space="preserve"> коммунальным?</w:t>
      </w:r>
      <w:r w:rsidRPr="006D1E99">
        <w:rPr>
          <w:rFonts w:ascii="PT Sans" w:eastAsia="Times New Roman" w:hAnsi="PT Sans" w:cs="Times New Roman"/>
          <w:color w:val="606060"/>
          <w:sz w:val="27"/>
          <w:szCs w:val="27"/>
          <w:lang w:eastAsia="ru-RU"/>
        </w:rPr>
        <w:b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6D1E99" w:rsidRPr="006D1E99" w:rsidRDefault="006D1E99" w:rsidP="006D1E99">
      <w:pPr>
        <w:spacing w:after="336"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9. Кто должен заключать договор с региональным оператором?</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Все собственники твердых коммунальных отходов обязаны заключить договор на оказание услуг по обращению с ТКО с региональным оператором.</w:t>
      </w:r>
      <w:r w:rsidRPr="006D1E99">
        <w:rPr>
          <w:rFonts w:ascii="PT Sans" w:eastAsia="Times New Roman" w:hAnsi="PT Sans" w:cs="Times New Roman"/>
          <w:color w:val="606060"/>
          <w:sz w:val="27"/>
          <w:szCs w:val="27"/>
          <w:lang w:eastAsia="ru-RU"/>
        </w:rPr>
        <w:br/>
        <w:t>Прямой договор в обязательном порядке заключают юридические лица и индивидуальные предприниматели. Жителям многоквартирных домов (МКД) и частного сектора услуга может предоставляться в рамках договора публичной оферты. Также коммунальная услуга жителям МКД 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она обязана заключить договор с региональным оператором.</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10. Надо ли заключать договор, если юридическое лицо не осуществляет хозяйственной деятельности?</w:t>
      </w:r>
      <w:r w:rsidRPr="006D1E99">
        <w:rPr>
          <w:rFonts w:ascii="PT Sans" w:eastAsia="Times New Roman" w:hAnsi="PT Sans" w:cs="Times New Roman"/>
          <w:color w:val="606060"/>
          <w:sz w:val="27"/>
          <w:szCs w:val="27"/>
          <w:lang w:eastAsia="ru-RU"/>
        </w:rPr>
        <w:b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lastRenderedPageBreak/>
        <w:t>11. Кто должен оплачивать коммунальную услугу, если в квартире никто не прописан?</w:t>
      </w:r>
      <w:r w:rsidRPr="006D1E99">
        <w:rPr>
          <w:rFonts w:ascii="PT Sans" w:eastAsia="Times New Roman" w:hAnsi="PT Sans" w:cs="Times New Roman"/>
          <w:color w:val="606060"/>
          <w:sz w:val="27"/>
          <w:szCs w:val="27"/>
          <w:lang w:eastAsia="ru-RU"/>
        </w:rPr>
        <w:br/>
        <w:t>Данный факт нужно подтвердить справками из паспортного стола. Если в квартире никто не прописан, то плата будет начисляться по количеству ее собственников.</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12. Какие нормативы накопления ТКО утверждены для жителей?</w:t>
      </w:r>
      <w:r w:rsidRPr="006D1E99">
        <w:rPr>
          <w:rFonts w:ascii="PT Sans" w:eastAsia="Times New Roman" w:hAnsi="PT Sans" w:cs="Times New Roman"/>
          <w:color w:val="606060"/>
          <w:sz w:val="27"/>
          <w:szCs w:val="27"/>
          <w:lang w:eastAsia="ru-RU"/>
        </w:rPr>
        <w:br/>
        <w:t>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w:t>
      </w:r>
      <w:r w:rsidRPr="006D1E99">
        <w:rPr>
          <w:rFonts w:ascii="PT Sans" w:eastAsia="Times New Roman" w:hAnsi="PT Sans" w:cs="Times New Roman"/>
          <w:color w:val="606060"/>
          <w:sz w:val="27"/>
          <w:szCs w:val="27"/>
          <w:lang w:eastAsia="ru-RU"/>
        </w:rPr>
        <w:br/>
        <w:t>В многоквартирных домах Екатеринбурга норматив утвержден из расчета 0,213 кубометра с человека в месяц, в частном секторе – 0,261 кубометра. Для остальных жителей Свердловской области – 0,169 и 0,19 кубометра в месяц соответственно.</w:t>
      </w:r>
      <w:r w:rsidRPr="006D1E99">
        <w:rPr>
          <w:rFonts w:ascii="PT Sans" w:eastAsia="Times New Roman" w:hAnsi="PT Sans" w:cs="Times New Roman"/>
          <w:color w:val="606060"/>
          <w:sz w:val="27"/>
          <w:szCs w:val="27"/>
          <w:lang w:eastAsia="ru-RU"/>
        </w:rPr>
        <w:br/>
        <w:t>С учетом данных о фактическом количестве образованных ТКО в каждом сезоне, полученных от региональных операторов по результатам оказанной коммунальной услуги по обращению с ТКО, планируется провести сопоставление полученных данных с установленными нормативами накопления ТКО.</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13. Сколько стоит вывоз мусора для жителей?</w:t>
      </w:r>
      <w:r w:rsidRPr="006D1E99">
        <w:rPr>
          <w:rFonts w:ascii="PT Sans" w:eastAsia="Times New Roman" w:hAnsi="PT Sans" w:cs="Times New Roman"/>
          <w:color w:val="606060"/>
          <w:sz w:val="27"/>
          <w:szCs w:val="27"/>
          <w:lang w:eastAsia="ru-RU"/>
        </w:rPr>
        <w:br/>
        <w:t>Плата за вывоз мусора с одного человека в месяц составит:</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w:t>
      </w:r>
      <w:proofErr w:type="gramStart"/>
      <w:r w:rsidRPr="006D1E99">
        <w:rPr>
          <w:rFonts w:ascii="PT Sans" w:eastAsia="Times New Roman" w:hAnsi="PT Sans" w:cs="Times New Roman"/>
          <w:color w:val="606060"/>
          <w:sz w:val="27"/>
          <w:szCs w:val="27"/>
          <w:lang w:eastAsia="ru-RU"/>
        </w:rPr>
        <w:t>АПО-1: для жителей МКД – 142,95 рубля, частного сектора – 160,72 рубля с НДС;</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АПО-2: для жителей МКД – 120,59 рубля, частного сектора – 135,58 рубля с НДС;</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АПО-3: для жителей МКД и частных домов в Екатеринбурге – 148,62 и 182,12 рубля с НДС соответственно, в других населенных пунктах АПО-3 – 117,82 и 132,57 рубля с НДС.</w:t>
      </w:r>
      <w:proofErr w:type="gramEnd"/>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14. Будут ли предоставляться льготы на оплату услуги по вывозу ТКО?</w:t>
      </w:r>
      <w:r w:rsidRPr="006D1E99">
        <w:rPr>
          <w:rFonts w:ascii="PT Sans" w:eastAsia="Times New Roman" w:hAnsi="PT Sans" w:cs="Times New Roman"/>
          <w:color w:val="606060"/>
          <w:sz w:val="27"/>
          <w:szCs w:val="27"/>
          <w:lang w:eastAsia="ru-RU"/>
        </w:rPr>
        <w:br/>
        <w:t>Услуга по обращению с ТКО является коммунальной. Согласно действующему законодательству на нее распространяются все льготы, как и на другие виды коммунальных услуг.</w:t>
      </w:r>
      <w:r w:rsidRPr="006D1E99">
        <w:rPr>
          <w:rFonts w:ascii="PT Sans" w:eastAsia="Times New Roman" w:hAnsi="PT Sans" w:cs="Times New Roman"/>
          <w:color w:val="606060"/>
          <w:sz w:val="27"/>
          <w:szCs w:val="27"/>
          <w:lang w:eastAsia="ru-RU"/>
        </w:rPr>
        <w:br/>
        <w:t>Льготные категории граждан:</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инвалиды и участники Великой Отечественной </w:t>
      </w:r>
      <w:proofErr w:type="gramStart"/>
      <w:r w:rsidRPr="006D1E99">
        <w:rPr>
          <w:rFonts w:ascii="PT Sans" w:eastAsia="Times New Roman" w:hAnsi="PT Sans" w:cs="Times New Roman"/>
          <w:color w:val="606060"/>
          <w:sz w:val="27"/>
          <w:szCs w:val="27"/>
          <w:lang w:eastAsia="ru-RU"/>
        </w:rPr>
        <w:t>войны</w:t>
      </w:r>
      <w:proofErr w:type="gramEnd"/>
      <w:r w:rsidRPr="006D1E99">
        <w:rPr>
          <w:rFonts w:ascii="PT Sans" w:eastAsia="Times New Roman" w:hAnsi="PT Sans" w:cs="Times New Roman"/>
          <w:color w:val="606060"/>
          <w:sz w:val="27"/>
          <w:szCs w:val="27"/>
          <w:lang w:eastAsia="ru-RU"/>
        </w:rPr>
        <w:t xml:space="preserve"> и жители блокадного Ленинграда;</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ветераны боевых действий;</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участники ликвидации последствий аварии на Чернобыльской АЭС;</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инвалиды с I по III группу инвалидности;</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ветераны труда и труженики тыла периода Великой Отечественной войны;</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несовершеннолетние сироты и дети, лишенные родительской опеки;</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многодетные семьи.</w:t>
      </w:r>
      <w:r w:rsidRPr="006D1E99">
        <w:rPr>
          <w:rFonts w:ascii="PT Sans" w:eastAsia="Times New Roman" w:hAnsi="PT Sans" w:cs="Times New Roman"/>
          <w:color w:val="606060"/>
          <w:sz w:val="27"/>
          <w:szCs w:val="27"/>
          <w:lang w:eastAsia="ru-RU"/>
        </w:rPr>
        <w:br/>
        <w:t>Назначения и выплаты компенсаций расходов на оплату коммунальной услуги по обращению с твердыми коммунальными отходами указанным категориям граждан осуществляется в порядке, установленном для назначения компенсации расходов на оплату других коммунальных услуг. Указанные порядки утверждены:</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lastRenderedPageBreak/>
        <w:t>постановлением Правительства Свердловской области от 26.06.2012</w:t>
      </w:r>
      <w:r w:rsidRPr="006D1E99">
        <w:rPr>
          <w:rFonts w:ascii="PT Sans" w:eastAsia="Times New Roman" w:hAnsi="PT Sans" w:cs="Times New Roman"/>
          <w:color w:val="606060"/>
          <w:sz w:val="27"/>
          <w:szCs w:val="27"/>
          <w:lang w:eastAsia="ru-RU"/>
        </w:rPr>
        <w:br/>
        <w:t xml:space="preserve">№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6D1E99">
        <w:rPr>
          <w:rFonts w:ascii="PT Sans" w:eastAsia="Times New Roman" w:hAnsi="PT Sans" w:cs="Times New Roman"/>
          <w:color w:val="606060"/>
          <w:sz w:val="27"/>
          <w:szCs w:val="27"/>
          <w:lang w:eastAsia="ru-RU"/>
        </w:rPr>
        <w:t>поддержки</w:t>
      </w:r>
      <w:proofErr w:type="gramEnd"/>
      <w:r w:rsidRPr="006D1E99">
        <w:rPr>
          <w:rFonts w:ascii="PT Sans" w:eastAsia="Times New Roman" w:hAnsi="PT Sans" w:cs="Times New Roman"/>
          <w:color w:val="606060"/>
          <w:sz w:val="27"/>
          <w:szCs w:val="27"/>
          <w:lang w:eastAsia="ru-RU"/>
        </w:rPr>
        <w:t xml:space="preserve"> которым относится к ведению Российской Федерации»;</w:t>
      </w:r>
      <w:r w:rsidRPr="006D1E99">
        <w:rPr>
          <w:rFonts w:ascii="PT Sans" w:eastAsia="Times New Roman" w:hAnsi="PT Sans" w:cs="Times New Roman"/>
          <w:color w:val="606060"/>
          <w:sz w:val="27"/>
          <w:szCs w:val="27"/>
          <w:lang w:eastAsia="ru-RU"/>
        </w:rPr>
        <w:br/>
        <w:t xml:space="preserve">постановлением 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6D1E99">
        <w:rPr>
          <w:rFonts w:ascii="PT Sans" w:eastAsia="Times New Roman" w:hAnsi="PT Sans" w:cs="Times New Roman"/>
          <w:color w:val="606060"/>
          <w:sz w:val="27"/>
          <w:szCs w:val="27"/>
          <w:lang w:eastAsia="ru-RU"/>
        </w:rPr>
        <w:t>поддержки</w:t>
      </w:r>
      <w:proofErr w:type="gramEnd"/>
      <w:r w:rsidRPr="006D1E99">
        <w:rPr>
          <w:rFonts w:ascii="PT Sans" w:eastAsia="Times New Roman" w:hAnsi="PT Sans" w:cs="Times New Roman"/>
          <w:color w:val="606060"/>
          <w:sz w:val="27"/>
          <w:szCs w:val="27"/>
          <w:lang w:eastAsia="ru-RU"/>
        </w:rPr>
        <w:t xml:space="preserve"> которым относится к ведению субъекта Российской Федерации»;</w:t>
      </w:r>
      <w:r w:rsidRPr="006D1E99">
        <w:rPr>
          <w:rFonts w:ascii="PT Sans" w:eastAsia="Times New Roman" w:hAnsi="PT Sans" w:cs="Times New Roman"/>
          <w:color w:val="606060"/>
          <w:sz w:val="27"/>
          <w:szCs w:val="27"/>
          <w:lang w:eastAsia="ru-RU"/>
        </w:rPr>
        <w:br/>
        <w:t>постановление Правительства Свердловской области от 26.06.2012</w:t>
      </w:r>
      <w:r w:rsidRPr="006D1E99">
        <w:rPr>
          <w:rFonts w:ascii="PT Sans" w:eastAsia="Times New Roman" w:hAnsi="PT Sans" w:cs="Times New Roman"/>
          <w:color w:val="606060"/>
          <w:sz w:val="27"/>
          <w:szCs w:val="27"/>
          <w:lang w:eastAsia="ru-RU"/>
        </w:rPr>
        <w:b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r w:rsidRPr="006D1E99">
        <w:rPr>
          <w:rFonts w:ascii="PT Sans" w:eastAsia="Times New Roman" w:hAnsi="PT Sans" w:cs="Times New Roman"/>
          <w:color w:val="606060"/>
          <w:sz w:val="27"/>
          <w:szCs w:val="27"/>
          <w:lang w:eastAsia="ru-RU"/>
        </w:rPr>
        <w:br/>
      </w:r>
      <w:proofErr w:type="gramStart"/>
      <w:r w:rsidRPr="006D1E99">
        <w:rPr>
          <w:rFonts w:ascii="PT Sans" w:eastAsia="Times New Roman" w:hAnsi="PT Sans" w:cs="Times New Roman"/>
          <w:color w:val="606060"/>
          <w:sz w:val="27"/>
          <w:szCs w:val="27"/>
          <w:lang w:eastAsia="ru-RU"/>
        </w:rPr>
        <w:t>Также в отношении коммунальной услуги по обращения с твердыми коммунальными отходами распространяются условия получения субсидии на оплату коммунальной услуги, которые определены Законом Свердловской области от 15.07.2005 № 89-ОЗ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w:t>
      </w:r>
      <w:proofErr w:type="gramEnd"/>
      <w:r w:rsidRPr="006D1E99">
        <w:rPr>
          <w:rFonts w:ascii="PT Sans" w:eastAsia="Times New Roman" w:hAnsi="PT Sans" w:cs="Times New Roman"/>
          <w:color w:val="606060"/>
          <w:sz w:val="27"/>
          <w:szCs w:val="27"/>
          <w:lang w:eastAsia="ru-RU"/>
        </w:rPr>
        <w:t xml:space="preserve"> коммунальных услуг в совокупном доходе семьи в Свердловской области». К такому условию относится превышение максимально допустимой доли расходов граждан на оплату жилого помещения и коммунальных услуг в совокупном доходе семьи, установленной в размере 22 процентов.</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15. Как подтвердить длительное отсутствие по месту проживания и неполучения коммунальной услуги?</w:t>
      </w:r>
      <w:r w:rsidRPr="006D1E99">
        <w:rPr>
          <w:rFonts w:ascii="PT Sans" w:eastAsia="Times New Roman" w:hAnsi="PT Sans" w:cs="Times New Roman"/>
          <w:color w:val="606060"/>
          <w:sz w:val="27"/>
          <w:szCs w:val="27"/>
          <w:lang w:eastAsia="ru-RU"/>
        </w:rPr>
        <w:b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Pr="006D1E99">
        <w:rPr>
          <w:rFonts w:ascii="PT Sans" w:eastAsia="Times New Roman" w:hAnsi="PT Sans" w:cs="Times New Roman"/>
          <w:color w:val="606060"/>
          <w:sz w:val="27"/>
          <w:szCs w:val="27"/>
          <w:lang w:eastAsia="ru-RU"/>
        </w:rPr>
        <w:br/>
        <w:t>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может быть приложен один из документов:</w:t>
      </w:r>
      <w:r w:rsidRPr="006D1E99">
        <w:rPr>
          <w:rFonts w:ascii="PT Sans" w:eastAsia="Times New Roman" w:hAnsi="PT Sans" w:cs="Times New Roman"/>
          <w:color w:val="606060"/>
          <w:sz w:val="27"/>
          <w:szCs w:val="27"/>
          <w:lang w:eastAsia="ru-RU"/>
        </w:rPr>
        <w:b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r w:rsidRPr="006D1E99">
        <w:rPr>
          <w:rFonts w:ascii="PT Sans" w:eastAsia="Times New Roman" w:hAnsi="PT Sans" w:cs="Times New Roman"/>
          <w:color w:val="606060"/>
          <w:sz w:val="27"/>
          <w:szCs w:val="27"/>
          <w:lang w:eastAsia="ru-RU"/>
        </w:rPr>
        <w:br/>
        <w:t>б) справка о нахождении на лечении в стационарном лечебном учреждении или на санаторно-курортном лечении;</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lastRenderedPageBreak/>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r w:rsidRPr="006D1E99">
        <w:rPr>
          <w:rFonts w:ascii="PT Sans" w:eastAsia="Times New Roman" w:hAnsi="PT Sans" w:cs="Times New Roman"/>
          <w:color w:val="606060"/>
          <w:sz w:val="27"/>
          <w:szCs w:val="27"/>
          <w:lang w:eastAsia="ru-RU"/>
        </w:rPr>
        <w:br/>
        <w:t>г) счета за проживание в гостинице, общежитии или другом месте временного пребывания или их заверенные копии;</w:t>
      </w:r>
      <w:r w:rsidRPr="006D1E99">
        <w:rPr>
          <w:rFonts w:ascii="PT Sans" w:eastAsia="Times New Roman" w:hAnsi="PT Sans" w:cs="Times New Roman"/>
          <w:color w:val="606060"/>
          <w:sz w:val="27"/>
          <w:szCs w:val="27"/>
          <w:lang w:eastAsia="ru-RU"/>
        </w:rPr>
        <w:br/>
      </w:r>
      <w:proofErr w:type="gramStart"/>
      <w:r w:rsidRPr="006D1E99">
        <w:rPr>
          <w:rFonts w:ascii="PT Sans" w:eastAsia="Times New Roman" w:hAnsi="PT Sans" w:cs="Times New Roman"/>
          <w:color w:val="606060"/>
          <w:sz w:val="27"/>
          <w:szCs w:val="27"/>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r w:rsidRPr="006D1E99">
        <w:rPr>
          <w:rFonts w:ascii="PT Sans" w:eastAsia="Times New Roman" w:hAnsi="PT Sans" w:cs="Times New Roman"/>
          <w:color w:val="606060"/>
          <w:sz w:val="27"/>
          <w:szCs w:val="27"/>
          <w:lang w:eastAsia="ru-RU"/>
        </w:rPr>
        <w:b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r w:rsidRPr="006D1E99">
        <w:rPr>
          <w:rFonts w:ascii="PT Sans" w:eastAsia="Times New Roman" w:hAnsi="PT Sans" w:cs="Times New Roman"/>
          <w:color w:val="606060"/>
          <w:sz w:val="27"/>
          <w:szCs w:val="27"/>
          <w:lang w:eastAsia="ru-RU"/>
        </w:rPr>
        <w:b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r w:rsidRPr="006D1E99">
        <w:rPr>
          <w:rFonts w:ascii="PT Sans" w:eastAsia="Times New Roman" w:hAnsi="PT Sans" w:cs="Times New Roman"/>
          <w:color w:val="606060"/>
          <w:sz w:val="27"/>
          <w:szCs w:val="27"/>
          <w:lang w:eastAsia="ru-RU"/>
        </w:rPr>
        <w:b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r w:rsidRPr="006D1E99">
        <w:rPr>
          <w:rFonts w:ascii="PT Sans" w:eastAsia="Times New Roman" w:hAnsi="PT Sans" w:cs="Times New Roman"/>
          <w:color w:val="606060"/>
          <w:sz w:val="27"/>
          <w:szCs w:val="27"/>
          <w:lang w:eastAsia="ru-RU"/>
        </w:rPr>
        <w:b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r w:rsidRPr="006D1E99">
        <w:rPr>
          <w:rFonts w:ascii="PT Sans" w:eastAsia="Times New Roman" w:hAnsi="PT Sans" w:cs="Times New Roman"/>
          <w:color w:val="606060"/>
          <w:sz w:val="27"/>
          <w:szCs w:val="27"/>
          <w:lang w:eastAsia="ru-RU"/>
        </w:rPr>
        <w:br/>
        <w:t>к) иные документы, которые, по мнению потребителя, подтверждают факт и продолжительность временного отсутствия потребителя в жилом помещении.</w:t>
      </w:r>
      <w:r w:rsidRPr="006D1E99">
        <w:rPr>
          <w:rFonts w:ascii="PT Sans" w:eastAsia="Times New Roman" w:hAnsi="PT Sans" w:cs="Times New Roman"/>
          <w:color w:val="606060"/>
          <w:sz w:val="27"/>
          <w:szCs w:val="27"/>
          <w:lang w:eastAsia="ru-RU"/>
        </w:rPr>
        <w:br/>
        <w:t>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16. Кто ответственен за содержание контейнерных площадок?</w:t>
      </w:r>
      <w:r w:rsidRPr="006D1E99">
        <w:rPr>
          <w:rFonts w:ascii="PT Sans" w:eastAsia="Times New Roman" w:hAnsi="PT Sans" w:cs="Times New Roman"/>
          <w:color w:val="606060"/>
          <w:sz w:val="27"/>
          <w:szCs w:val="27"/>
          <w:lang w:eastAsia="ru-RU"/>
        </w:rPr>
        <w:b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lastRenderedPageBreak/>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r w:rsidRPr="006D1E99">
        <w:rPr>
          <w:rFonts w:ascii="PT Sans" w:eastAsia="Times New Roman" w:hAnsi="PT Sans" w:cs="Times New Roman"/>
          <w:color w:val="606060"/>
          <w:sz w:val="27"/>
          <w:szCs w:val="27"/>
          <w:lang w:eastAsia="ru-RU"/>
        </w:rPr>
        <w:br/>
        <w:t>Право собственности на отходы переходит к региональному оператору с момента погрузки отходов в мусоровоз.</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17. Как часто должен вывозиться мусор?</w:t>
      </w:r>
      <w:r w:rsidRPr="006D1E99">
        <w:rPr>
          <w:rFonts w:ascii="PT Sans" w:eastAsia="Times New Roman" w:hAnsi="PT Sans" w:cs="Times New Roman"/>
          <w:color w:val="606060"/>
          <w:sz w:val="27"/>
          <w:szCs w:val="27"/>
          <w:lang w:eastAsia="ru-RU"/>
        </w:rPr>
        <w:br/>
        <w:t>При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18.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твердых коммунальных отходов)?</w:t>
      </w:r>
      <w:r w:rsidRPr="006D1E99">
        <w:rPr>
          <w:rFonts w:ascii="PT Sans" w:eastAsia="Times New Roman" w:hAnsi="PT Sans" w:cs="Times New Roman"/>
          <w:color w:val="606060"/>
          <w:sz w:val="27"/>
          <w:szCs w:val="27"/>
          <w:lang w:eastAsia="ru-RU"/>
        </w:rPr>
        <w:br/>
        <w:t>В соответствии с п.5 Постановления Правительство Российской Федерации от 3 июня 2016 г. № 505 «Об утверждении правил коммерческого учета объема и (или) массы твердых коммунальных отходов» коммерческий учет твердых коммунальных отходов осуществляется:</w:t>
      </w:r>
      <w:r w:rsidRPr="006D1E99">
        <w:rPr>
          <w:rFonts w:ascii="PT Sans" w:eastAsia="Times New Roman" w:hAnsi="PT Sans" w:cs="Times New Roman"/>
          <w:color w:val="606060"/>
          <w:sz w:val="27"/>
          <w:szCs w:val="27"/>
          <w:lang w:eastAsia="ru-RU"/>
        </w:rPr>
        <w:br/>
        <w:t>а) расчетным путем исходя из:</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нормативов накопления твердых коммунальных отходов, выраженных в количественных показателях объема;</w:t>
      </w:r>
      <w:r w:rsidRPr="006D1E99">
        <w:rPr>
          <w:rFonts w:ascii="PT Sans" w:eastAsia="Times New Roman" w:hAnsi="PT Sans" w:cs="Times New Roman"/>
          <w:color w:val="606060"/>
          <w:sz w:val="27"/>
          <w:szCs w:val="27"/>
          <w:lang w:eastAsia="ru-RU"/>
        </w:rPr>
        <w:br/>
      </w:r>
      <w:r w:rsidRPr="006D1E99">
        <w:rPr>
          <w:rFonts w:ascii="PT Sans" w:eastAsia="Times New Roman" w:hAnsi="PT Sans" w:cs="Times New Roman"/>
          <w:color w:val="606060"/>
          <w:sz w:val="27"/>
          <w:szCs w:val="27"/>
          <w:lang w:eastAsia="ru-RU"/>
        </w:rPr>
        <w:sym w:font="Symbol" w:char="F02D"/>
      </w:r>
      <w:r w:rsidRPr="006D1E99">
        <w:rPr>
          <w:rFonts w:ascii="PT Sans" w:eastAsia="Times New Roman" w:hAnsi="PT Sans" w:cs="Times New Roman"/>
          <w:color w:val="606060"/>
          <w:sz w:val="27"/>
          <w:szCs w:val="27"/>
          <w:lang w:eastAsia="ru-RU"/>
        </w:rPr>
        <w:t xml:space="preserve"> количества и объема контейнеров для накопления твердых коммунальных отходов, установленных в местах накопления твердых коммунальных отходов;</w:t>
      </w:r>
      <w:r w:rsidRPr="006D1E99">
        <w:rPr>
          <w:rFonts w:ascii="PT Sans" w:eastAsia="Times New Roman" w:hAnsi="PT Sans" w:cs="Times New Roman"/>
          <w:color w:val="606060"/>
          <w:sz w:val="27"/>
          <w:szCs w:val="27"/>
          <w:lang w:eastAsia="ru-RU"/>
        </w:rPr>
        <w:br/>
        <w:t>б) исходя из массы твердых коммунальных отходов, определенной с использованием средств измерения.</w:t>
      </w:r>
      <w:r w:rsidRPr="006D1E99">
        <w:rPr>
          <w:rFonts w:ascii="PT Sans" w:eastAsia="Times New Roman" w:hAnsi="PT Sans" w:cs="Times New Roman"/>
          <w:color w:val="606060"/>
          <w:sz w:val="27"/>
          <w:szCs w:val="27"/>
          <w:lang w:eastAsia="ru-RU"/>
        </w:rPr>
        <w:br/>
        <w:t>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подпунктом «а» пункта 5 Правил, то есть исходя из нормативов накопления отходов или объема отходов, накапливаемых на контейнерной площадке.</w:t>
      </w:r>
    </w:p>
    <w:p w:rsidR="006D1E99" w:rsidRPr="006D1E99" w:rsidRDefault="006D1E99" w:rsidP="006D1E99">
      <w:pPr>
        <w:spacing w:after="0" w:line="240" w:lineRule="auto"/>
        <w:jc w:val="both"/>
        <w:rPr>
          <w:rFonts w:ascii="PT Sans" w:eastAsia="Times New Roman" w:hAnsi="PT Sans" w:cs="Times New Roman"/>
          <w:color w:val="606060"/>
          <w:sz w:val="27"/>
          <w:szCs w:val="27"/>
          <w:lang w:eastAsia="ru-RU"/>
        </w:rPr>
      </w:pPr>
      <w:r w:rsidRPr="006D1E99">
        <w:rPr>
          <w:rFonts w:ascii="PT Sans" w:eastAsia="Times New Roman" w:hAnsi="PT Sans" w:cs="Times New Roman"/>
          <w:color w:val="606060"/>
          <w:sz w:val="27"/>
          <w:szCs w:val="27"/>
          <w:lang w:eastAsia="ru-RU"/>
        </w:rPr>
        <w:t>19. 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w:t>
      </w:r>
      <w:r w:rsidRPr="006D1E99">
        <w:rPr>
          <w:rFonts w:ascii="PT Sans" w:eastAsia="Times New Roman" w:hAnsi="PT Sans" w:cs="Times New Roman"/>
          <w:color w:val="606060"/>
          <w:sz w:val="27"/>
          <w:szCs w:val="27"/>
          <w:lang w:eastAsia="ru-RU"/>
        </w:rPr>
        <w:br/>
        <w:t xml:space="preserve">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в рамках отдельного договора, который может быть заключен с </w:t>
      </w:r>
      <w:proofErr w:type="spellStart"/>
      <w:r w:rsidRPr="006D1E99">
        <w:rPr>
          <w:rFonts w:ascii="PT Sans" w:eastAsia="Times New Roman" w:hAnsi="PT Sans" w:cs="Times New Roman"/>
          <w:color w:val="606060"/>
          <w:sz w:val="27"/>
          <w:szCs w:val="27"/>
          <w:lang w:eastAsia="ru-RU"/>
        </w:rPr>
        <w:t>регоператором</w:t>
      </w:r>
      <w:proofErr w:type="spellEnd"/>
      <w:r w:rsidRPr="006D1E99">
        <w:rPr>
          <w:rFonts w:ascii="PT Sans" w:eastAsia="Times New Roman" w:hAnsi="PT Sans" w:cs="Times New Roman"/>
          <w:color w:val="606060"/>
          <w:sz w:val="27"/>
          <w:szCs w:val="27"/>
          <w:lang w:eastAsia="ru-RU"/>
        </w:rPr>
        <w:t>, в том числе на утилизацию данных видов отходов.</w:t>
      </w:r>
    </w:p>
    <w:p w:rsidR="006D1E99" w:rsidRPr="006D1E99" w:rsidRDefault="006D1E99" w:rsidP="006D1E99">
      <w:pPr>
        <w:spacing w:line="240" w:lineRule="auto"/>
        <w:jc w:val="both"/>
        <w:rPr>
          <w:rFonts w:ascii="PT Sans" w:eastAsia="Times New Roman" w:hAnsi="PT Sans" w:cs="Times New Roman"/>
          <w:color w:val="606060"/>
          <w:sz w:val="27"/>
          <w:szCs w:val="27"/>
          <w:lang w:eastAsia="ru-RU"/>
        </w:rPr>
      </w:pPr>
      <w:hyperlink r:id="rId5" w:history="1">
        <w:r w:rsidRPr="006D1E99">
          <w:rPr>
            <w:rFonts w:ascii="Cormorant Garamond" w:eastAsia="Times New Roman" w:hAnsi="Cormorant Garamond" w:cs="Times New Roman"/>
            <w:b/>
            <w:bCs/>
            <w:color w:val="000000"/>
            <w:spacing w:val="-1"/>
            <w:sz w:val="35"/>
            <w:szCs w:val="35"/>
            <w:bdr w:val="none" w:sz="0" w:space="0" w:color="auto" w:frame="1"/>
            <w:lang w:eastAsia="ru-RU"/>
          </w:rPr>
          <w:t>«Горячие линии» Региональных операторов Свердловской области по обращению с твердыми коммунальными отходами (ТКО)</w:t>
        </w:r>
      </w:hyperlink>
    </w:p>
    <w:p w:rsidR="006D1E99" w:rsidRPr="006D1E99" w:rsidRDefault="006D1E99" w:rsidP="006D1E99">
      <w:pPr>
        <w:shd w:val="clear" w:color="auto" w:fill="F1F5F9"/>
        <w:spacing w:line="240" w:lineRule="auto"/>
        <w:jc w:val="center"/>
        <w:rPr>
          <w:rFonts w:ascii="PT Sans" w:eastAsia="Times New Roman" w:hAnsi="PT Sans" w:cs="Times New Roman"/>
          <w:caps/>
          <w:color w:val="606060"/>
          <w:spacing w:val="12"/>
          <w:sz w:val="54"/>
          <w:szCs w:val="54"/>
          <w:lang w:eastAsia="ru-RU"/>
        </w:rPr>
      </w:pPr>
      <w:hyperlink r:id="rId6" w:tooltip="Министерство энергетики и ЖКХ Свердловской области" w:history="1">
        <w:r w:rsidRPr="006D1E99">
          <w:rPr>
            <w:rFonts w:ascii="PT Sans" w:eastAsia="Times New Roman" w:hAnsi="PT Sans" w:cs="Times New Roman"/>
            <w:caps/>
            <w:color w:val="0000FF"/>
            <w:spacing w:val="12"/>
            <w:sz w:val="54"/>
            <w:szCs w:val="54"/>
            <w:bdr w:val="none" w:sz="0" w:space="0" w:color="auto" w:frame="1"/>
            <w:lang w:eastAsia="ru-RU"/>
          </w:rPr>
          <w:t>МИНИСТЕРСТВО ЭНЕРГЕТИКИ И ЖКХ СВЕРДЛОВСКОЙ ОБЛАСТИ</w:t>
        </w:r>
      </w:hyperlink>
    </w:p>
    <w:p w:rsidR="006D1E99" w:rsidRPr="006D1E99" w:rsidRDefault="006D1E99" w:rsidP="006D1E99">
      <w:pPr>
        <w:shd w:val="clear" w:color="auto" w:fill="F1F5F9"/>
        <w:spacing w:after="0" w:line="240" w:lineRule="auto"/>
        <w:jc w:val="center"/>
        <w:textAlignment w:val="center"/>
        <w:rPr>
          <w:rFonts w:ascii="PT Sans" w:eastAsia="Times New Roman" w:hAnsi="PT Sans" w:cs="Times New Roman"/>
          <w:color w:val="707070"/>
          <w:sz w:val="27"/>
          <w:szCs w:val="27"/>
          <w:lang w:eastAsia="ru-RU"/>
        </w:rPr>
      </w:pPr>
      <w:hyperlink r:id="rId7" w:history="1">
        <w:r w:rsidRPr="006D1E99">
          <w:rPr>
            <w:rFonts w:ascii="PT Sans" w:eastAsia="Times New Roman" w:hAnsi="PT Sans" w:cs="Times New Roman"/>
            <w:color w:val="057ADC"/>
            <w:sz w:val="21"/>
            <w:szCs w:val="21"/>
            <w:bdr w:val="single" w:sz="6" w:space="4" w:color="525252" w:frame="1"/>
            <w:shd w:val="clear" w:color="auto" w:fill="666666"/>
            <w:lang w:eastAsia="ru-RU"/>
          </w:rPr>
          <w:t xml:space="preserve"> Версия для </w:t>
        </w:r>
        <w:proofErr w:type="gramStart"/>
        <w:r w:rsidRPr="006D1E99">
          <w:rPr>
            <w:rFonts w:ascii="PT Sans" w:eastAsia="Times New Roman" w:hAnsi="PT Sans" w:cs="Times New Roman"/>
            <w:color w:val="057ADC"/>
            <w:sz w:val="21"/>
            <w:szCs w:val="21"/>
            <w:bdr w:val="single" w:sz="6" w:space="4" w:color="525252" w:frame="1"/>
            <w:shd w:val="clear" w:color="auto" w:fill="666666"/>
            <w:lang w:eastAsia="ru-RU"/>
          </w:rPr>
          <w:t>слабовидящих</w:t>
        </w:r>
        <w:proofErr w:type="gramEnd"/>
      </w:hyperlink>
    </w:p>
    <w:p w:rsidR="006D1E99" w:rsidRPr="006D1E99" w:rsidRDefault="006D1E99" w:rsidP="006D1E99">
      <w:pPr>
        <w:shd w:val="clear" w:color="auto" w:fill="F1F5F9"/>
        <w:spacing w:after="336" w:line="240" w:lineRule="auto"/>
        <w:jc w:val="center"/>
        <w:rPr>
          <w:rFonts w:ascii="PT Sans" w:eastAsia="Times New Roman" w:hAnsi="PT Sans" w:cs="Times New Roman"/>
          <w:color w:val="707070"/>
          <w:sz w:val="27"/>
          <w:szCs w:val="27"/>
          <w:lang w:eastAsia="ru-RU"/>
        </w:rPr>
      </w:pPr>
      <w:r w:rsidRPr="006D1E99">
        <w:rPr>
          <w:rFonts w:ascii="PT Sans" w:eastAsia="Times New Roman" w:hAnsi="PT Sans" w:cs="Times New Roman"/>
          <w:color w:val="707070"/>
          <w:sz w:val="27"/>
          <w:szCs w:val="27"/>
          <w:lang w:eastAsia="ru-RU"/>
        </w:rPr>
        <w:t xml:space="preserve">620031, г. Екатеринбург, </w:t>
      </w:r>
      <w:proofErr w:type="spellStart"/>
      <w:r w:rsidRPr="006D1E99">
        <w:rPr>
          <w:rFonts w:ascii="PT Sans" w:eastAsia="Times New Roman" w:hAnsi="PT Sans" w:cs="Times New Roman"/>
          <w:color w:val="707070"/>
          <w:sz w:val="27"/>
          <w:szCs w:val="27"/>
          <w:lang w:eastAsia="ru-RU"/>
        </w:rPr>
        <w:t>пл</w:t>
      </w:r>
      <w:proofErr w:type="gramStart"/>
      <w:r w:rsidRPr="006D1E99">
        <w:rPr>
          <w:rFonts w:ascii="PT Sans" w:eastAsia="Times New Roman" w:hAnsi="PT Sans" w:cs="Times New Roman"/>
          <w:color w:val="707070"/>
          <w:sz w:val="27"/>
          <w:szCs w:val="27"/>
          <w:lang w:eastAsia="ru-RU"/>
        </w:rPr>
        <w:t>.О</w:t>
      </w:r>
      <w:proofErr w:type="gramEnd"/>
      <w:r w:rsidRPr="006D1E99">
        <w:rPr>
          <w:rFonts w:ascii="PT Sans" w:eastAsia="Times New Roman" w:hAnsi="PT Sans" w:cs="Times New Roman"/>
          <w:color w:val="707070"/>
          <w:sz w:val="27"/>
          <w:szCs w:val="27"/>
          <w:lang w:eastAsia="ru-RU"/>
        </w:rPr>
        <w:t>ктябрьская</w:t>
      </w:r>
      <w:proofErr w:type="spellEnd"/>
      <w:r w:rsidRPr="006D1E99">
        <w:rPr>
          <w:rFonts w:ascii="PT Sans" w:eastAsia="Times New Roman" w:hAnsi="PT Sans" w:cs="Times New Roman"/>
          <w:color w:val="707070"/>
          <w:sz w:val="27"/>
          <w:szCs w:val="27"/>
          <w:lang w:eastAsia="ru-RU"/>
        </w:rPr>
        <w:t>, д. 1</w:t>
      </w:r>
    </w:p>
    <w:p w:rsidR="006D1E99" w:rsidRPr="006D1E99" w:rsidRDefault="006D1E99" w:rsidP="006D1E99">
      <w:pPr>
        <w:shd w:val="clear" w:color="auto" w:fill="F1F5F9"/>
        <w:spacing w:line="240" w:lineRule="auto"/>
        <w:jc w:val="center"/>
        <w:rPr>
          <w:rFonts w:ascii="PT Sans" w:eastAsia="Times New Roman" w:hAnsi="PT Sans" w:cs="Times New Roman"/>
          <w:color w:val="707070"/>
          <w:sz w:val="27"/>
          <w:szCs w:val="27"/>
          <w:lang w:eastAsia="ru-RU"/>
        </w:rPr>
      </w:pPr>
      <w:r w:rsidRPr="006D1E99">
        <w:rPr>
          <w:rFonts w:ascii="PT Sans" w:eastAsia="Times New Roman" w:hAnsi="PT Sans" w:cs="Times New Roman"/>
          <w:color w:val="707070"/>
          <w:sz w:val="27"/>
          <w:szCs w:val="27"/>
          <w:lang w:eastAsia="ru-RU"/>
        </w:rPr>
        <w:t>тел.: (343) 312-00-12</w:t>
      </w:r>
      <w:r w:rsidRPr="006D1E99">
        <w:rPr>
          <w:rFonts w:ascii="PT Sans" w:eastAsia="Times New Roman" w:hAnsi="PT Sans" w:cs="Times New Roman"/>
          <w:color w:val="707070"/>
          <w:sz w:val="27"/>
          <w:szCs w:val="27"/>
          <w:lang w:eastAsia="ru-RU"/>
        </w:rPr>
        <w:br/>
        <w:t>тел.: (343) 312-02-30</w:t>
      </w:r>
      <w:r w:rsidRPr="006D1E99">
        <w:rPr>
          <w:rFonts w:ascii="PT Sans" w:eastAsia="Times New Roman" w:hAnsi="PT Sans" w:cs="Times New Roman"/>
          <w:color w:val="707070"/>
          <w:sz w:val="27"/>
          <w:szCs w:val="27"/>
          <w:lang w:eastAsia="ru-RU"/>
        </w:rPr>
        <w:br/>
        <w:t>тел.: (343) 362-18-71</w:t>
      </w:r>
    </w:p>
    <w:p w:rsidR="00BD0648" w:rsidRDefault="00BD0648">
      <w:bookmarkStart w:id="0" w:name="_GoBack"/>
      <w:bookmarkEnd w:id="0"/>
    </w:p>
    <w:sectPr w:rsidR="00BD0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rmorant Garamon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7C"/>
    <w:rsid w:val="006D1E99"/>
    <w:rsid w:val="0093797C"/>
    <w:rsid w:val="00BD0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1E99"/>
    <w:rPr>
      <w:color w:val="0000FF"/>
      <w:u w:val="single"/>
    </w:rPr>
  </w:style>
  <w:style w:type="paragraph" w:styleId="a4">
    <w:name w:val="Normal (Web)"/>
    <w:basedOn w:val="a"/>
    <w:uiPriority w:val="99"/>
    <w:semiHidden/>
    <w:unhideWhenUsed/>
    <w:rsid w:val="006D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0"/>
    <w:rsid w:val="006D1E99"/>
  </w:style>
  <w:style w:type="paragraph" w:styleId="a5">
    <w:name w:val="Balloon Text"/>
    <w:basedOn w:val="a"/>
    <w:link w:val="a6"/>
    <w:uiPriority w:val="99"/>
    <w:semiHidden/>
    <w:unhideWhenUsed/>
    <w:rsid w:val="006D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9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1E99"/>
    <w:rPr>
      <w:color w:val="0000FF"/>
      <w:u w:val="single"/>
    </w:rPr>
  </w:style>
  <w:style w:type="paragraph" w:styleId="a4">
    <w:name w:val="Normal (Web)"/>
    <w:basedOn w:val="a"/>
    <w:uiPriority w:val="99"/>
    <w:semiHidden/>
    <w:unhideWhenUsed/>
    <w:rsid w:val="006D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0"/>
    <w:rsid w:val="006D1E99"/>
  </w:style>
  <w:style w:type="paragraph" w:styleId="a5">
    <w:name w:val="Balloon Text"/>
    <w:basedOn w:val="a"/>
    <w:link w:val="a6"/>
    <w:uiPriority w:val="99"/>
    <w:semiHidden/>
    <w:unhideWhenUsed/>
    <w:rsid w:val="006D1E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E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59801">
      <w:bodyDiv w:val="1"/>
      <w:marLeft w:val="0"/>
      <w:marRight w:val="0"/>
      <w:marTop w:val="0"/>
      <w:marBottom w:val="0"/>
      <w:divBdr>
        <w:top w:val="none" w:sz="0" w:space="0" w:color="auto"/>
        <w:left w:val="none" w:sz="0" w:space="0" w:color="auto"/>
        <w:bottom w:val="none" w:sz="0" w:space="0" w:color="auto"/>
        <w:right w:val="none" w:sz="0" w:space="0" w:color="auto"/>
      </w:divBdr>
      <w:divsChild>
        <w:div w:id="1899635020">
          <w:marLeft w:val="0"/>
          <w:marRight w:val="0"/>
          <w:marTop w:val="0"/>
          <w:marBottom w:val="0"/>
          <w:divBdr>
            <w:top w:val="none" w:sz="0" w:space="0" w:color="auto"/>
            <w:left w:val="none" w:sz="0" w:space="0" w:color="auto"/>
            <w:bottom w:val="none" w:sz="0" w:space="0" w:color="auto"/>
            <w:right w:val="none" w:sz="0" w:space="0" w:color="auto"/>
          </w:divBdr>
          <w:divsChild>
            <w:div w:id="1020542780">
              <w:marLeft w:val="0"/>
              <w:marRight w:val="0"/>
              <w:marTop w:val="0"/>
              <w:marBottom w:val="0"/>
              <w:divBdr>
                <w:top w:val="none" w:sz="0" w:space="0" w:color="auto"/>
                <w:left w:val="none" w:sz="0" w:space="0" w:color="auto"/>
                <w:bottom w:val="none" w:sz="0" w:space="0" w:color="auto"/>
                <w:right w:val="none" w:sz="0" w:space="0" w:color="auto"/>
              </w:divBdr>
              <w:divsChild>
                <w:div w:id="1214347857">
                  <w:marLeft w:val="0"/>
                  <w:marRight w:val="0"/>
                  <w:marTop w:val="0"/>
                  <w:marBottom w:val="0"/>
                  <w:divBdr>
                    <w:top w:val="none" w:sz="0" w:space="0" w:color="auto"/>
                    <w:left w:val="none" w:sz="0" w:space="0" w:color="auto"/>
                    <w:bottom w:val="none" w:sz="0" w:space="0" w:color="auto"/>
                    <w:right w:val="none" w:sz="0" w:space="0" w:color="auto"/>
                  </w:divBdr>
                  <w:divsChild>
                    <w:div w:id="132867478">
                      <w:marLeft w:val="0"/>
                      <w:marRight w:val="0"/>
                      <w:marTop w:val="0"/>
                      <w:marBottom w:val="0"/>
                      <w:divBdr>
                        <w:top w:val="none" w:sz="0" w:space="0" w:color="auto"/>
                        <w:left w:val="none" w:sz="0" w:space="0" w:color="auto"/>
                        <w:bottom w:val="none" w:sz="0" w:space="0" w:color="auto"/>
                        <w:right w:val="none" w:sz="0" w:space="0" w:color="auto"/>
                      </w:divBdr>
                      <w:divsChild>
                        <w:div w:id="2697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30430">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 w:id="757360713">
          <w:marLeft w:val="0"/>
          <w:marRight w:val="0"/>
          <w:marTop w:val="0"/>
          <w:marBottom w:val="0"/>
          <w:divBdr>
            <w:top w:val="none" w:sz="0" w:space="0" w:color="auto"/>
            <w:left w:val="none" w:sz="0" w:space="0" w:color="auto"/>
            <w:bottom w:val="none" w:sz="0" w:space="0" w:color="auto"/>
            <w:right w:val="none" w:sz="0" w:space="0" w:color="auto"/>
          </w:divBdr>
          <w:divsChild>
            <w:div w:id="830751493">
              <w:marLeft w:val="0"/>
              <w:marRight w:val="0"/>
              <w:marTop w:val="0"/>
              <w:marBottom w:val="0"/>
              <w:divBdr>
                <w:top w:val="none" w:sz="0" w:space="0" w:color="auto"/>
                <w:left w:val="none" w:sz="0" w:space="0" w:color="auto"/>
                <w:bottom w:val="none" w:sz="0" w:space="0" w:color="auto"/>
                <w:right w:val="none" w:sz="0" w:space="0" w:color="auto"/>
              </w:divBdr>
              <w:divsChild>
                <w:div w:id="1602255713">
                  <w:marLeft w:val="0"/>
                  <w:marRight w:val="0"/>
                  <w:marTop w:val="0"/>
                  <w:marBottom w:val="375"/>
                  <w:divBdr>
                    <w:top w:val="none" w:sz="0" w:space="0" w:color="auto"/>
                    <w:left w:val="none" w:sz="0" w:space="0" w:color="auto"/>
                    <w:bottom w:val="none" w:sz="0" w:space="0" w:color="auto"/>
                    <w:right w:val="none" w:sz="0" w:space="0" w:color="auto"/>
                  </w:divBdr>
                  <w:divsChild>
                    <w:div w:id="69937050">
                      <w:marLeft w:val="0"/>
                      <w:marRight w:val="0"/>
                      <w:marTop w:val="0"/>
                      <w:marBottom w:val="192"/>
                      <w:divBdr>
                        <w:top w:val="none" w:sz="0" w:space="0" w:color="auto"/>
                        <w:left w:val="none" w:sz="0" w:space="0" w:color="auto"/>
                        <w:bottom w:val="none" w:sz="0" w:space="0" w:color="auto"/>
                        <w:right w:val="none" w:sz="0" w:space="0" w:color="auto"/>
                      </w:divBdr>
                    </w:div>
                  </w:divsChild>
                </w:div>
                <w:div w:id="1892156147">
                  <w:marLeft w:val="0"/>
                  <w:marRight w:val="0"/>
                  <w:marTop w:val="0"/>
                  <w:marBottom w:val="0"/>
                  <w:divBdr>
                    <w:top w:val="none" w:sz="0" w:space="0" w:color="auto"/>
                    <w:left w:val="none" w:sz="0" w:space="0" w:color="auto"/>
                    <w:bottom w:val="none" w:sz="0" w:space="0" w:color="auto"/>
                    <w:right w:val="none" w:sz="0" w:space="0" w:color="auto"/>
                  </w:divBdr>
                  <w:divsChild>
                    <w:div w:id="236982776">
                      <w:marLeft w:val="0"/>
                      <w:marRight w:val="0"/>
                      <w:marTop w:val="0"/>
                      <w:marBottom w:val="0"/>
                      <w:divBdr>
                        <w:top w:val="none" w:sz="0" w:space="0" w:color="auto"/>
                        <w:left w:val="none" w:sz="0" w:space="0" w:color="auto"/>
                        <w:bottom w:val="none" w:sz="0" w:space="0" w:color="auto"/>
                        <w:right w:val="none" w:sz="0" w:space="0" w:color="auto"/>
                      </w:divBdr>
                      <w:divsChild>
                        <w:div w:id="899634676">
                          <w:marLeft w:val="0"/>
                          <w:marRight w:val="0"/>
                          <w:marTop w:val="0"/>
                          <w:marBottom w:val="0"/>
                          <w:divBdr>
                            <w:top w:val="none" w:sz="0" w:space="0" w:color="auto"/>
                            <w:left w:val="none" w:sz="0" w:space="0" w:color="auto"/>
                            <w:bottom w:val="none" w:sz="0" w:space="0" w:color="auto"/>
                            <w:right w:val="none" w:sz="0" w:space="0" w:color="auto"/>
                          </w:divBdr>
                          <w:divsChild>
                            <w:div w:id="1930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984082">
          <w:marLeft w:val="557"/>
          <w:marRight w:val="0"/>
          <w:marTop w:val="0"/>
          <w:marBottom w:val="0"/>
          <w:divBdr>
            <w:top w:val="none" w:sz="0" w:space="0" w:color="auto"/>
            <w:left w:val="none" w:sz="0" w:space="0" w:color="auto"/>
            <w:bottom w:val="none" w:sz="0" w:space="0" w:color="auto"/>
            <w:right w:val="none" w:sz="0" w:space="0" w:color="auto"/>
          </w:divBdr>
          <w:divsChild>
            <w:div w:id="543295881">
              <w:marLeft w:val="0"/>
              <w:marRight w:val="0"/>
              <w:marTop w:val="0"/>
              <w:marBottom w:val="0"/>
              <w:divBdr>
                <w:top w:val="none" w:sz="0" w:space="0" w:color="auto"/>
                <w:left w:val="none" w:sz="0" w:space="0" w:color="auto"/>
                <w:bottom w:val="none" w:sz="0" w:space="0" w:color="auto"/>
                <w:right w:val="none" w:sz="0" w:space="0" w:color="auto"/>
              </w:divBdr>
              <w:divsChild>
                <w:div w:id="210851710">
                  <w:marLeft w:val="0"/>
                  <w:marRight w:val="0"/>
                  <w:marTop w:val="0"/>
                  <w:marBottom w:val="0"/>
                  <w:divBdr>
                    <w:top w:val="none" w:sz="0" w:space="0" w:color="auto"/>
                    <w:left w:val="none" w:sz="0" w:space="0" w:color="auto"/>
                    <w:bottom w:val="none" w:sz="0" w:space="0" w:color="auto"/>
                    <w:right w:val="none" w:sz="0" w:space="0" w:color="auto"/>
                  </w:divBdr>
                  <w:divsChild>
                    <w:div w:id="1734111353">
                      <w:marLeft w:val="0"/>
                      <w:marRight w:val="0"/>
                      <w:marTop w:val="0"/>
                      <w:marBottom w:val="0"/>
                      <w:divBdr>
                        <w:top w:val="none" w:sz="0" w:space="0" w:color="auto"/>
                        <w:left w:val="none" w:sz="0" w:space="0" w:color="auto"/>
                        <w:bottom w:val="none" w:sz="0" w:space="0" w:color="auto"/>
                        <w:right w:val="none" w:sz="0" w:space="0" w:color="auto"/>
                      </w:divBdr>
                      <w:divsChild>
                        <w:div w:id="1476027912">
                          <w:marLeft w:val="0"/>
                          <w:marRight w:val="0"/>
                          <w:marTop w:val="0"/>
                          <w:marBottom w:val="240"/>
                          <w:divBdr>
                            <w:top w:val="none" w:sz="0" w:space="0" w:color="auto"/>
                            <w:left w:val="none" w:sz="0" w:space="0" w:color="auto"/>
                            <w:bottom w:val="none" w:sz="0" w:space="0" w:color="auto"/>
                            <w:right w:val="none" w:sz="0" w:space="0" w:color="auto"/>
                          </w:divBdr>
                          <w:divsChild>
                            <w:div w:id="1891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ergy.midural.ru/napravleniya-deyatelnosti/zhkh/obraschenie-s-tverdyimi-byitovyimi-othodami-tbo/reforma-obrashheniya-s-tko-v-voprosah-i-otvet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ergy.midural.ru/" TargetMode="External"/><Relationship Id="rId5" Type="http://schemas.openxmlformats.org/officeDocument/2006/relationships/hyperlink" Target="http://energy.midural.ru/napravleniya-deyatelnosti/zhkh/obraschenie-s-tverdyimi-byitovyimi-othodami-tbo/goryachie-linii-regionalnyh-operatorov-sverdlovskoj-oblasti-po-obrashheniyu-s-tverdymi-kommunalnymi-othodami-t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3328</Words>
  <Characters>18975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Zamestitel</dc:creator>
  <cp:keywords/>
  <dc:description/>
  <cp:lastModifiedBy>Zamestitel</cp:lastModifiedBy>
  <cp:revision>3</cp:revision>
  <cp:lastPrinted>2019-01-17T05:09:00Z</cp:lastPrinted>
  <dcterms:created xsi:type="dcterms:W3CDTF">2019-01-17T05:07:00Z</dcterms:created>
  <dcterms:modified xsi:type="dcterms:W3CDTF">2019-01-17T05:15:00Z</dcterms:modified>
</cp:coreProperties>
</file>