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D7" w:rsidRDefault="00D538D7" w:rsidP="00D538D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7D5AA4C" wp14:editId="3AF317A7">
            <wp:extent cx="2304415" cy="841375"/>
            <wp:effectExtent l="19050" t="0" r="635" b="0"/>
            <wp:docPr id="10" name="Рисунок 5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8D7" w:rsidRDefault="00D538D7" w:rsidP="00D538D7">
      <w:pPr>
        <w:pStyle w:val="a3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Кадастровая палата по Свердловской области улучшает инвестиционную привлекательность Урала</w:t>
      </w:r>
    </w:p>
    <w:p w:rsidR="00D538D7" w:rsidRDefault="00D538D7" w:rsidP="00D538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инвестиционной привлекательности субъектов Российской Федерации на региональном уровне распоряжением Правительства РФ № 147 от 31 января 2017 года утверждены 12 целевых моделей упрощения процедур ведения </w:t>
      </w:r>
      <w:proofErr w:type="gramStart"/>
      <w:r>
        <w:rPr>
          <w:color w:val="000000"/>
          <w:sz w:val="28"/>
          <w:szCs w:val="28"/>
        </w:rPr>
        <w:t>бизнеса</w:t>
      </w:r>
      <w:proofErr w:type="gramEnd"/>
      <w:r>
        <w:rPr>
          <w:color w:val="000000"/>
          <w:sz w:val="28"/>
          <w:szCs w:val="28"/>
        </w:rPr>
        <w:t xml:space="preserve"> и. Внедрение целевых моделей позволит повысить позиции Российской Федерации по ключевым параметрам рейтинга комфортности ведения бизнеса </w:t>
      </w:r>
      <w:proofErr w:type="spellStart"/>
      <w:r>
        <w:rPr>
          <w:color w:val="000000"/>
          <w:sz w:val="28"/>
          <w:szCs w:val="28"/>
        </w:rPr>
        <w:t>Doing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Business</w:t>
      </w:r>
      <w:proofErr w:type="spellEnd"/>
      <w:r>
        <w:rPr>
          <w:color w:val="000000"/>
          <w:sz w:val="28"/>
          <w:szCs w:val="28"/>
        </w:rPr>
        <w:t>. На региональном уровне целевые модели использовались для формирования «дорожной карты» области по улучшению инвестиционного климата по каждому из направлений, утвержденной заместителем Губернатора Свердловской области 15 февраля 2017 года.</w:t>
      </w:r>
    </w:p>
    <w:p w:rsidR="00D538D7" w:rsidRDefault="00D538D7" w:rsidP="00D538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апреля 2017 года сотрудники Кадастровой палаты по Свердловской области приняли участие в рабочем совещании, организованном для органов местного самоуправления, по вопросам реализации на территории Свердловской области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  На совещании были представители Министерства по управлению государственным имуществом  Свердловской области, 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Свердловской области, а также  представители более 70 муниципальных образований.</w:t>
      </w:r>
    </w:p>
    <w:p w:rsidR="00D538D7" w:rsidRDefault="00D538D7" w:rsidP="00D538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Целевая модель «Постановка на кадастровый учет земельных участков и объектов недвижимого имущества» направлена на повышение эффективности процедуры предоставления земельных участков, находящихся в государственной и муниципальной собственности, а также сокращения сроков постановки объектов недвижимости на государственный кадастровый учет.</w:t>
      </w:r>
    </w:p>
    <w:p w:rsidR="00D538D7" w:rsidRDefault="00D538D7" w:rsidP="00D538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совещании выступил директор Кадастровой палаты Владимир </w:t>
      </w:r>
      <w:proofErr w:type="spellStart"/>
      <w:r>
        <w:rPr>
          <w:color w:val="000000"/>
          <w:sz w:val="28"/>
          <w:szCs w:val="28"/>
        </w:rPr>
        <w:t>Вафин</w:t>
      </w:r>
      <w:proofErr w:type="spellEnd"/>
      <w:r>
        <w:rPr>
          <w:color w:val="000000"/>
          <w:sz w:val="28"/>
          <w:szCs w:val="28"/>
        </w:rPr>
        <w:t xml:space="preserve">: «Большое внимание в данной модели уделяется работе регионов по внесению в Единый государственный реестр недвижимости (ЕГРН) сведений о границах субъектов Российской Федерации, муниципальных образований и населенных пунктов для оптимизации процедуры постановки объектов недвижимости на государственный кадастровый учет. Наличие информации в ЕГРН позволит сократить сроки осуществления государственного кадастрового учета, повысить качество оказания государственных услуг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>, а главное снизит количество приостановлений осуществления государственного кадастрового учета».</w:t>
      </w:r>
    </w:p>
    <w:p w:rsidR="00D538D7" w:rsidRDefault="00D538D7" w:rsidP="00D538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сегодняшний день срок осуществления государственного </w:t>
      </w:r>
      <w:r>
        <w:rPr>
          <w:color w:val="000000"/>
          <w:sz w:val="28"/>
          <w:szCs w:val="28"/>
        </w:rPr>
        <w:lastRenderedPageBreak/>
        <w:t xml:space="preserve">кадастрового учета в соответствии с </w:t>
      </w:r>
      <w:r>
        <w:rPr>
          <w:bCs/>
          <w:color w:val="000000"/>
          <w:sz w:val="28"/>
          <w:szCs w:val="28"/>
        </w:rPr>
        <w:t xml:space="preserve">Федеральным законом от 13.07.2015 № 218-ФЗ «О государственной регистрации недвижимости» составляет 5 рабочих дней. </w:t>
      </w:r>
      <w:r>
        <w:rPr>
          <w:color w:val="000000"/>
          <w:sz w:val="28"/>
          <w:szCs w:val="28"/>
        </w:rPr>
        <w:t xml:space="preserve">В случае отсутствия ответа на межведомственный запрос о предоставлении информации, при рассмотрении заявлений о ГКУ, принимается решение о приостановлении на 1 месяц, что приводит к увеличению доли заявлений о приостановлении к общему количеству принятых заявлений и недовольству заявителей.  </w:t>
      </w:r>
      <w:r>
        <w:rPr>
          <w:bCs/>
          <w:color w:val="000000"/>
          <w:sz w:val="28"/>
          <w:szCs w:val="28"/>
        </w:rPr>
        <w:t>Наличие информации</w:t>
      </w:r>
      <w:r>
        <w:rPr>
          <w:color w:val="000000"/>
          <w:sz w:val="28"/>
          <w:szCs w:val="28"/>
        </w:rPr>
        <w:t xml:space="preserve"> в ЕГРН позволит сократить срок постановки на ГКУ, снизится количество приостановлений, что приведет к улучшению отношения заявителей к качеству предоставления государственных услуг.</w:t>
      </w:r>
    </w:p>
    <w:p w:rsidR="00D538D7" w:rsidRDefault="00D538D7" w:rsidP="00D538D7">
      <w:pPr>
        <w:ind w:firstLine="709"/>
        <w:jc w:val="both"/>
        <w:rPr>
          <w:bCs/>
          <w:color w:val="000000"/>
          <w:sz w:val="28"/>
          <w:szCs w:val="28"/>
        </w:rPr>
      </w:pPr>
    </w:p>
    <w:p w:rsidR="00D538D7" w:rsidRDefault="00D538D7" w:rsidP="00D538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директора Кадастровой палаты по Свердловской области Татьяна Николаевна </w:t>
      </w:r>
      <w:proofErr w:type="spellStart"/>
      <w:r>
        <w:rPr>
          <w:color w:val="000000"/>
          <w:sz w:val="28"/>
          <w:szCs w:val="28"/>
        </w:rPr>
        <w:t>Янтюшева</w:t>
      </w:r>
      <w:proofErr w:type="spellEnd"/>
      <w:r>
        <w:rPr>
          <w:color w:val="000000"/>
          <w:sz w:val="28"/>
          <w:szCs w:val="28"/>
        </w:rPr>
        <w:t xml:space="preserve"> рассказала о текущих показателях реализации целевой модели «Постановка на кадастровый учет земельных участков и объектов недвижимого имущества». В ходе своего выступления она пояснила органам местного самоуправления, как формируются показатели целевой модели, и какие мероприятия необходимы для достижения целевых показателей.</w:t>
      </w:r>
    </w:p>
    <w:p w:rsidR="00D538D7" w:rsidRDefault="00D538D7" w:rsidP="00D538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Татьяна Николаевна также проинформировала представителей органов местного самоуправления о необходимости проведения комплексных кадастровых работ: «Данные работы </w:t>
      </w:r>
      <w:r>
        <w:rPr>
          <w:bCs/>
          <w:color w:val="000000"/>
          <w:sz w:val="28"/>
          <w:szCs w:val="28"/>
        </w:rPr>
        <w:t xml:space="preserve">обеспечат возможность </w:t>
      </w:r>
      <w:r>
        <w:rPr>
          <w:color w:val="000000"/>
          <w:sz w:val="28"/>
          <w:szCs w:val="28"/>
        </w:rPr>
        <w:t xml:space="preserve">осуществлять уточнение местоположения границ земельных участков, а также исправлять кадастровые ошибки в сведениях ЕГРН о местоположении границ объектов недвижимости». </w:t>
      </w:r>
    </w:p>
    <w:p w:rsidR="00D538D7" w:rsidRDefault="00D538D7" w:rsidP="00D538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 мая в ЕГРН внесены сведения о 48 муниципальных образований и о 206 населенных пунктов, расположенных на территории Свердловской области. Доля количества земельных участков  в ЕГРН с границами, установленными в соответствии с требованиями законодательства Российской Федерации, в общем количестве земельных участков, учтенных в ЕГРН, составляет 51%.  Функция по установке границ возложена на региональные органы государственной власти и органы местного самоуправления.</w:t>
      </w:r>
    </w:p>
    <w:p w:rsidR="00D538D7" w:rsidRDefault="00D538D7" w:rsidP="00D538D7">
      <w:pPr>
        <w:ind w:firstLine="709"/>
        <w:jc w:val="both"/>
        <w:rPr>
          <w:color w:val="000000"/>
          <w:sz w:val="28"/>
          <w:szCs w:val="28"/>
        </w:rPr>
      </w:pPr>
    </w:p>
    <w:p w:rsidR="00D538D7" w:rsidRDefault="00D538D7" w:rsidP="00D53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целевых показателей в сфере кадастрового учета позволит модернизировать процесс управления земельными ресурсами и повысить инвестиционную привлекательность региона.</w:t>
      </w:r>
    </w:p>
    <w:p w:rsidR="00D538D7" w:rsidRDefault="00D538D7" w:rsidP="00D538D7">
      <w:pPr>
        <w:ind w:firstLine="709"/>
        <w:jc w:val="both"/>
        <w:rPr>
          <w:color w:val="000000"/>
          <w:sz w:val="28"/>
          <w:szCs w:val="28"/>
        </w:rPr>
      </w:pPr>
    </w:p>
    <w:p w:rsidR="00D538D7" w:rsidRDefault="00D538D7" w:rsidP="00D538D7">
      <w:pPr>
        <w:ind w:firstLine="709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Филиал «ФКП </w:t>
      </w:r>
      <w:proofErr w:type="spellStart"/>
      <w:r>
        <w:rPr>
          <w:color w:val="000000"/>
          <w:sz w:val="32"/>
          <w:szCs w:val="32"/>
        </w:rPr>
        <w:t>Росреестра</w:t>
      </w:r>
      <w:proofErr w:type="spellEnd"/>
      <w:r>
        <w:rPr>
          <w:color w:val="000000"/>
          <w:sz w:val="32"/>
          <w:szCs w:val="32"/>
        </w:rPr>
        <w:t>» по Свердловской области</w:t>
      </w:r>
    </w:p>
    <w:p w:rsidR="00D8401F" w:rsidRDefault="00D8401F">
      <w:bookmarkStart w:id="0" w:name="_GoBack"/>
      <w:bookmarkEnd w:id="0"/>
    </w:p>
    <w:sectPr w:rsidR="00D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E9"/>
    <w:rsid w:val="00452BE9"/>
    <w:rsid w:val="00B1251F"/>
    <w:rsid w:val="00D538D7"/>
    <w:rsid w:val="00D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8D7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8D7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2017-05-12T09:13:00Z</dcterms:created>
  <dcterms:modified xsi:type="dcterms:W3CDTF">2017-05-12T09:13:00Z</dcterms:modified>
</cp:coreProperties>
</file>