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863D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3863D3" w:rsidRPr="003863D3" w:rsidRDefault="00A75834" w:rsidP="003863D3">
      <w:pPr>
        <w:ind w:left="-180"/>
        <w:jc w:val="center"/>
        <w:rPr>
          <w:szCs w:val="28"/>
        </w:rPr>
      </w:pPr>
      <w:r w:rsidRPr="003863D3">
        <w:rPr>
          <w:b/>
          <w:szCs w:val="28"/>
        </w:rPr>
        <w:t xml:space="preserve">Тема: </w:t>
      </w:r>
      <w:r w:rsidR="003863D3" w:rsidRPr="003863D3">
        <w:rPr>
          <w:b/>
          <w:szCs w:val="28"/>
        </w:rPr>
        <w:t>Утверждены новые формы документов, представляемых для государственной регистрации ЮЛ, ИП, КФХ, а также требования к их оформлению</w:t>
      </w:r>
    </w:p>
    <w:p w:rsidR="003863D3" w:rsidRPr="003863D3" w:rsidRDefault="003863D3" w:rsidP="003863D3">
      <w:pPr>
        <w:ind w:firstLine="709"/>
        <w:rPr>
          <w:szCs w:val="28"/>
        </w:rPr>
      </w:pPr>
    </w:p>
    <w:p w:rsidR="003863D3" w:rsidRPr="003863D3" w:rsidRDefault="003863D3" w:rsidP="003863D3">
      <w:pPr>
        <w:ind w:firstLine="709"/>
        <w:rPr>
          <w:szCs w:val="28"/>
        </w:rPr>
      </w:pPr>
    </w:p>
    <w:p w:rsidR="003863D3" w:rsidRPr="003863D3" w:rsidRDefault="003863D3" w:rsidP="003863D3">
      <w:pPr>
        <w:ind w:right="247" w:firstLine="709"/>
        <w:jc w:val="both"/>
        <w:rPr>
          <w:szCs w:val="28"/>
        </w:rPr>
      </w:pPr>
      <w:r w:rsidRPr="003863D3">
        <w:rPr>
          <w:szCs w:val="28"/>
        </w:rPr>
        <w:t>25.11.2020 вступает в силу 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3863D3" w:rsidRPr="003863D3" w:rsidRDefault="003863D3" w:rsidP="003863D3">
      <w:pPr>
        <w:ind w:right="247" w:firstLine="709"/>
        <w:jc w:val="both"/>
        <w:rPr>
          <w:szCs w:val="28"/>
        </w:rPr>
      </w:pPr>
      <w:r w:rsidRPr="003863D3">
        <w:rPr>
          <w:szCs w:val="28"/>
        </w:rPr>
        <w:t xml:space="preserve">Данным приказом утверждены новые формы документов, представляемых для государственной регистрации юридических лиц, индивидуальных предпринимателей, крестьянских (фермерских) хозяйств, а также требования к их оформлению. </w:t>
      </w:r>
    </w:p>
    <w:p w:rsidR="003863D3" w:rsidRPr="003863D3" w:rsidRDefault="003863D3" w:rsidP="003863D3">
      <w:pPr>
        <w:ind w:right="247" w:firstLine="709"/>
        <w:jc w:val="both"/>
        <w:rPr>
          <w:szCs w:val="28"/>
        </w:rPr>
      </w:pPr>
      <w:r w:rsidRPr="003863D3">
        <w:rPr>
          <w:szCs w:val="28"/>
        </w:rPr>
        <w:t>С 25.11.2020 документы для государственной регистрации юридических лиц, индивидуальных предпринимателей, крестьянских (фермерских) хозяйств в регистрирующий орган необходимо представлять по формам и в соответствии с требованиями приказа ФНС России от 31.08.2020 № ЕД-7-14/617@.</w:t>
      </w:r>
    </w:p>
    <w:p w:rsidR="0066568D" w:rsidRPr="00A75834" w:rsidRDefault="0066568D" w:rsidP="0066568D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E85910" w:rsidRPr="00A75834" w:rsidRDefault="00E85910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  <w:bookmarkStart w:id="0" w:name="_GoBack"/>
      <w:bookmarkEnd w:id="0"/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375D2C"/>
    <w:rsid w:val="003863D3"/>
    <w:rsid w:val="00500292"/>
    <w:rsid w:val="005E7457"/>
    <w:rsid w:val="0066568D"/>
    <w:rsid w:val="006E1354"/>
    <w:rsid w:val="007C31D4"/>
    <w:rsid w:val="008D6C7C"/>
    <w:rsid w:val="00922456"/>
    <w:rsid w:val="00A75834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30</cp:revision>
  <dcterms:created xsi:type="dcterms:W3CDTF">2020-06-17T08:48:00Z</dcterms:created>
  <dcterms:modified xsi:type="dcterms:W3CDTF">2020-10-23T07:36:00Z</dcterms:modified>
</cp:coreProperties>
</file>