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7D34CA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7D34CA" w:rsidRDefault="007D34CA" w:rsidP="007D34CA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Тема: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 xml:space="preserve">Отслеживать появление налоговой задолженности можно через портал </w:t>
      </w:r>
      <w:proofErr w:type="spellStart"/>
      <w:r>
        <w:rPr>
          <w:b/>
          <w:bCs/>
          <w:kern w:val="36"/>
          <w:sz w:val="24"/>
          <w:szCs w:val="24"/>
        </w:rPr>
        <w:t>госуслуг</w:t>
      </w:r>
      <w:proofErr w:type="spellEnd"/>
    </w:p>
    <w:p w:rsidR="007D34CA" w:rsidRDefault="007D34CA" w:rsidP="007D34CA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7D34CA" w:rsidRDefault="007D34CA" w:rsidP="007D34CA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7D34CA" w:rsidRDefault="007D34CA" w:rsidP="007D34CA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информирует, что </w:t>
      </w:r>
      <w:r>
        <w:rPr>
          <w:sz w:val="24"/>
          <w:szCs w:val="24"/>
        </w:rPr>
        <w:t>Единый портал государственных и муниципальных услуг (www.gosuslugi.ru) предоставляет своим пользователям возможность получать уведомления о появлении налоговой задолженности. Для этого налогоплательщику в своем профиле следует указать ИНН.</w:t>
      </w:r>
    </w:p>
    <w:p w:rsidR="007D34CA" w:rsidRDefault="007D34CA" w:rsidP="007D3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образования задолженности при несвоевременной оплате налога, штрафа или сбора, уведомление о ней появится в «Личном кабинете» пользователя.</w:t>
      </w:r>
    </w:p>
    <w:p w:rsidR="007D34CA" w:rsidRDefault="007D34CA" w:rsidP="007D3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гражданин имеет на портале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 подтвержденную учетную запись, то он сможет и оплатить налоговую задолженность через сайт. </w:t>
      </w:r>
    </w:p>
    <w:p w:rsidR="007D34CA" w:rsidRDefault="007D34CA" w:rsidP="007D3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Подтвержденная учетная запись создается сразу при регистрации пользователя в одном из мест присутствия операторов Единой систем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(отделения Почты России, Ростелеком, МФЦ и др.). В этих же центрах при личном обращении можно подтвердить реквизиты доступа пользователям с ранее созданной упрощенной или стандартной учетной записью.</w:t>
      </w:r>
    </w:p>
    <w:p w:rsidR="007D34CA" w:rsidRDefault="007D34CA" w:rsidP="007D3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налоговой задолженности осуществляется без комиссии при использовании банковских карт. Пользователь портала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 также может распечатать квитанцию и произвести оплату в отделении банка.</w:t>
      </w:r>
    </w:p>
    <w:p w:rsidR="00237C4F" w:rsidRPr="000F1BB1" w:rsidRDefault="00237C4F" w:rsidP="000F1BB1">
      <w:pPr>
        <w:spacing w:before="100" w:beforeAutospacing="1" w:after="100" w:afterAutospacing="1"/>
        <w:ind w:firstLine="709"/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A02F33" w:rsidRPr="00EE3309" w:rsidRDefault="00A02F33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93031"/>
    <w:rsid w:val="0058044F"/>
    <w:rsid w:val="007D34CA"/>
    <w:rsid w:val="007F0566"/>
    <w:rsid w:val="00861B79"/>
    <w:rsid w:val="009938D2"/>
    <w:rsid w:val="00A02F33"/>
    <w:rsid w:val="00DC1C44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18</cp:revision>
  <dcterms:created xsi:type="dcterms:W3CDTF">2020-03-20T06:46:00Z</dcterms:created>
  <dcterms:modified xsi:type="dcterms:W3CDTF">2020-04-30T07:34:00Z</dcterms:modified>
</cp:coreProperties>
</file>